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90" w:rsidRDefault="006C06F6" w:rsidP="006C06F6">
      <w:pPr>
        <w:spacing w:after="0" w:line="400" w:lineRule="exact"/>
        <w:jc w:val="both"/>
        <w:rPr>
          <w:rFonts w:ascii="Garamond" w:hAnsi="Garamond"/>
          <w:b/>
          <w:sz w:val="28"/>
          <w:szCs w:val="28"/>
          <w:lang w:val="es-CL"/>
        </w:rPr>
      </w:pPr>
      <w:r w:rsidRPr="006C06F6">
        <w:rPr>
          <w:rFonts w:ascii="Garamond" w:hAnsi="Garamond"/>
          <w:b/>
          <w:sz w:val="28"/>
          <w:szCs w:val="28"/>
          <w:lang w:val="es-CL"/>
        </w:rPr>
        <w:t>Modifica la ley N° 18.918, orgánica constitucional del Congreso Nacional, para obligar a diputados y senadores a rendir cuenta pública de su trabajo legislativo, en la forma y oportunidad que señala</w:t>
      </w:r>
    </w:p>
    <w:p w:rsidR="006C06F6" w:rsidRDefault="006C06F6" w:rsidP="006C06F6">
      <w:pPr>
        <w:spacing w:after="0" w:line="400" w:lineRule="exact"/>
        <w:jc w:val="both"/>
        <w:rPr>
          <w:rFonts w:ascii="Garamond" w:hAnsi="Garamond"/>
          <w:b/>
          <w:sz w:val="28"/>
          <w:szCs w:val="28"/>
          <w:lang w:val="es-CL"/>
        </w:rPr>
      </w:pPr>
    </w:p>
    <w:p w:rsidR="006C06F6" w:rsidRDefault="006C06F6" w:rsidP="006C06F6">
      <w:pPr>
        <w:spacing w:after="0" w:line="400" w:lineRule="exact"/>
        <w:jc w:val="center"/>
        <w:rPr>
          <w:rFonts w:ascii="Garamond" w:hAnsi="Garamond"/>
          <w:b/>
          <w:sz w:val="28"/>
          <w:szCs w:val="28"/>
          <w:lang w:val="es-CL"/>
        </w:rPr>
      </w:pPr>
      <w:r>
        <w:rPr>
          <w:rFonts w:ascii="Garamond" w:hAnsi="Garamond"/>
          <w:b/>
          <w:sz w:val="28"/>
          <w:szCs w:val="28"/>
          <w:lang w:val="es-CL"/>
        </w:rPr>
        <w:t>Boletín N° 12700-07</w:t>
      </w:r>
    </w:p>
    <w:p w:rsidR="006C06F6" w:rsidRPr="006C06F6" w:rsidRDefault="006C06F6" w:rsidP="006C06F6">
      <w:pPr>
        <w:spacing w:after="0" w:line="400" w:lineRule="exact"/>
        <w:jc w:val="both"/>
        <w:rPr>
          <w:rFonts w:ascii="Garamond" w:hAnsi="Garamond"/>
          <w:b/>
          <w:sz w:val="28"/>
          <w:szCs w:val="28"/>
          <w:u w:val="single"/>
          <w:lang w:val="es-ES"/>
        </w:rPr>
      </w:pPr>
    </w:p>
    <w:p w:rsidR="00F207D2" w:rsidRDefault="00AE3C90" w:rsidP="00AE3C90">
      <w:pPr>
        <w:spacing w:line="360" w:lineRule="auto"/>
        <w:jc w:val="both"/>
        <w:rPr>
          <w:rFonts w:ascii="Garamond" w:hAnsi="Garamond"/>
          <w:b/>
          <w:sz w:val="28"/>
          <w:szCs w:val="28"/>
          <w:u w:val="single"/>
          <w:lang w:val="es-CL"/>
        </w:rPr>
      </w:pPr>
      <w:r>
        <w:rPr>
          <w:rFonts w:ascii="Garamond" w:hAnsi="Garamond"/>
          <w:b/>
          <w:sz w:val="28"/>
          <w:szCs w:val="28"/>
          <w:u w:val="single"/>
          <w:lang w:val="es-CL"/>
        </w:rPr>
        <w:t>Antecedentes generales</w:t>
      </w:r>
    </w:p>
    <w:p w:rsidR="0029282E" w:rsidRDefault="0029282E" w:rsidP="00463948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    Una de las más sentidas aspiraciones de la ciudadanía es que en términos institucionales, los órganos del Estado den razón de su actividad y entreguen los datos, cifras, alcances y los aspectos más importantes de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 los cometidos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que han prestado en la esfera pública.</w:t>
      </w:r>
    </w:p>
    <w:p w:rsidR="00DA7F65" w:rsidRDefault="00DA7F65" w:rsidP="00F2524C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   Por cierto, de ello no escapa ningún funcionario, 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quienes cuando manejan o tienen a cargo fondos o bienes públicos, </w:t>
      </w:r>
      <w:r>
        <w:rPr>
          <w:rFonts w:ascii="Garamond" w:eastAsia="Calibri" w:hAnsi="Garamond" w:cs="Times New Roman"/>
          <w:sz w:val="28"/>
          <w:szCs w:val="28"/>
          <w:lang w:val="es-CL"/>
        </w:rPr>
        <w:t>por expresa disposición constitucional y legal debe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>n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entregar periódicamente o a requerimiento, los datos más importantes de los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 usos, destinaciones y</w:t>
      </w:r>
      <w:r w:rsidR="00A1287A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provechos de los fondos que manejan. Así lo señala el artículo </w:t>
      </w:r>
      <w:r w:rsidR="00F2524C">
        <w:rPr>
          <w:rFonts w:ascii="Garamond" w:eastAsia="Calibri" w:hAnsi="Garamond" w:cs="Times New Roman"/>
          <w:sz w:val="28"/>
          <w:szCs w:val="28"/>
          <w:lang w:val="es-CL"/>
        </w:rPr>
        <w:t>98 inciso primero de la Constitución Política, y el artículo 1</w:t>
      </w:r>
      <w:r w:rsidR="00A1287A">
        <w:rPr>
          <w:rFonts w:ascii="Garamond" w:eastAsia="Calibri" w:hAnsi="Garamond" w:cs="Times New Roman"/>
          <w:sz w:val="28"/>
          <w:szCs w:val="28"/>
          <w:lang w:val="es-CL"/>
        </w:rPr>
        <w:t>°</w:t>
      </w:r>
      <w:r w:rsidR="00F2524C">
        <w:rPr>
          <w:rFonts w:ascii="Garamond" w:eastAsia="Calibri" w:hAnsi="Garamond" w:cs="Times New Roman"/>
          <w:sz w:val="28"/>
          <w:szCs w:val="28"/>
          <w:lang w:val="es-CL"/>
        </w:rPr>
        <w:t>, 7</w:t>
      </w:r>
      <w:r w:rsidR="00A1287A">
        <w:rPr>
          <w:rFonts w:ascii="Garamond" w:eastAsia="Calibri" w:hAnsi="Garamond" w:cs="Times New Roman"/>
          <w:sz w:val="28"/>
          <w:szCs w:val="28"/>
          <w:lang w:val="es-CL"/>
        </w:rPr>
        <w:t>°</w:t>
      </w:r>
      <w:r w:rsidR="00F2524C">
        <w:rPr>
          <w:rFonts w:ascii="Garamond" w:eastAsia="Calibri" w:hAnsi="Garamond" w:cs="Times New Roman"/>
          <w:sz w:val="28"/>
          <w:szCs w:val="28"/>
          <w:lang w:val="es-CL"/>
        </w:rPr>
        <w:t xml:space="preserve"> inciso segundo, 20</w:t>
      </w:r>
      <w:r w:rsidR="00A1287A">
        <w:rPr>
          <w:rFonts w:ascii="Garamond" w:eastAsia="Calibri" w:hAnsi="Garamond" w:cs="Times New Roman"/>
          <w:sz w:val="28"/>
          <w:szCs w:val="28"/>
          <w:lang w:val="es-CL"/>
        </w:rPr>
        <w:t>°</w:t>
      </w:r>
      <w:r w:rsidR="00F2524C">
        <w:rPr>
          <w:rFonts w:ascii="Garamond" w:eastAsia="Calibri" w:hAnsi="Garamond" w:cs="Times New Roman"/>
          <w:sz w:val="28"/>
          <w:szCs w:val="28"/>
          <w:lang w:val="es-CL"/>
        </w:rPr>
        <w:t xml:space="preserve"> , 21</w:t>
      </w:r>
      <w:r w:rsidR="00A1287A">
        <w:rPr>
          <w:rFonts w:ascii="Garamond" w:eastAsia="Calibri" w:hAnsi="Garamond" w:cs="Times New Roman"/>
          <w:sz w:val="28"/>
          <w:szCs w:val="28"/>
          <w:lang w:val="es-CL"/>
        </w:rPr>
        <w:t>°</w:t>
      </w:r>
      <w:r w:rsidR="00703399">
        <w:rPr>
          <w:rFonts w:ascii="Garamond" w:eastAsia="Calibri" w:hAnsi="Garamond" w:cs="Times New Roman"/>
          <w:sz w:val="28"/>
          <w:szCs w:val="28"/>
          <w:lang w:val="es-CL"/>
        </w:rPr>
        <w:t xml:space="preserve"> y 25</w:t>
      </w:r>
      <w:r w:rsidR="00A1287A">
        <w:rPr>
          <w:rFonts w:ascii="Garamond" w:eastAsia="Calibri" w:hAnsi="Garamond" w:cs="Times New Roman"/>
          <w:sz w:val="28"/>
          <w:szCs w:val="28"/>
          <w:lang w:val="es-CL"/>
        </w:rPr>
        <w:t>°</w:t>
      </w:r>
      <w:r w:rsidR="00703399">
        <w:rPr>
          <w:rFonts w:ascii="Garamond" w:eastAsia="Calibri" w:hAnsi="Garamond" w:cs="Times New Roman"/>
          <w:sz w:val="28"/>
          <w:szCs w:val="28"/>
          <w:lang w:val="es-CL"/>
        </w:rPr>
        <w:t xml:space="preserve"> de la ley n° 10.336 </w:t>
      </w:r>
      <w:r w:rsidR="00703399" w:rsidRPr="00703399">
        <w:rPr>
          <w:rFonts w:ascii="Garamond" w:eastAsia="Calibri" w:hAnsi="Garamond" w:cs="Times New Roman"/>
          <w:sz w:val="28"/>
          <w:szCs w:val="28"/>
          <w:lang w:val="es-CL"/>
        </w:rPr>
        <w:t>de org</w:t>
      </w:r>
      <w:r w:rsidR="00703399">
        <w:rPr>
          <w:rFonts w:ascii="Garamond" w:eastAsia="Calibri" w:hAnsi="Garamond" w:cs="Times New Roman"/>
          <w:sz w:val="28"/>
          <w:szCs w:val="28"/>
          <w:lang w:val="es-CL"/>
        </w:rPr>
        <w:t>anización y atribuciones de la Contraloría General de la R</w:t>
      </w:r>
      <w:r w:rsidR="00703399" w:rsidRPr="00703399">
        <w:rPr>
          <w:rFonts w:ascii="Garamond" w:eastAsia="Calibri" w:hAnsi="Garamond" w:cs="Times New Roman"/>
          <w:sz w:val="28"/>
          <w:szCs w:val="28"/>
          <w:lang w:val="es-CL"/>
        </w:rPr>
        <w:t>epública</w:t>
      </w:r>
      <w:r w:rsidR="00703399">
        <w:rPr>
          <w:rFonts w:ascii="Garamond" w:eastAsia="Calibri" w:hAnsi="Garamond" w:cs="Times New Roman"/>
          <w:sz w:val="28"/>
          <w:szCs w:val="28"/>
          <w:lang w:val="es-CL"/>
        </w:rPr>
        <w:t xml:space="preserve">, normas mediante las cuales lo que se busca es, esencialmente, </w:t>
      </w:r>
      <w:r w:rsidR="00F2524C" w:rsidRPr="00F2524C">
        <w:rPr>
          <w:rFonts w:ascii="Garamond" w:eastAsia="Calibri" w:hAnsi="Garamond" w:cs="Times New Roman"/>
          <w:sz w:val="28"/>
          <w:szCs w:val="28"/>
          <w:lang w:val="es-CL"/>
        </w:rPr>
        <w:t>verificar el exame</w:t>
      </w:r>
      <w:r w:rsidR="00F2524C">
        <w:rPr>
          <w:rFonts w:ascii="Garamond" w:eastAsia="Calibri" w:hAnsi="Garamond" w:cs="Times New Roman"/>
          <w:sz w:val="28"/>
          <w:szCs w:val="28"/>
          <w:lang w:val="es-CL"/>
        </w:rPr>
        <w:t xml:space="preserve">n de las cuentas </w:t>
      </w:r>
      <w:r w:rsidR="00F2524C" w:rsidRPr="00F2524C">
        <w:rPr>
          <w:rFonts w:ascii="Garamond" w:eastAsia="Calibri" w:hAnsi="Garamond" w:cs="Times New Roman"/>
          <w:sz w:val="28"/>
          <w:szCs w:val="28"/>
          <w:lang w:val="es-CL"/>
        </w:rPr>
        <w:t>que deben rendir las per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sonas o entidades que tengan a </w:t>
      </w:r>
      <w:r w:rsidR="00F2524C" w:rsidRPr="00F2524C">
        <w:rPr>
          <w:rFonts w:ascii="Garamond" w:eastAsia="Calibri" w:hAnsi="Garamond" w:cs="Times New Roman"/>
          <w:sz w:val="28"/>
          <w:szCs w:val="28"/>
          <w:lang w:val="es-CL"/>
        </w:rPr>
        <w:t xml:space="preserve">su cargo fondos o bienes </w:t>
      </w:r>
      <w:r w:rsidR="00A1287A">
        <w:rPr>
          <w:rFonts w:ascii="Garamond" w:eastAsia="Calibri" w:hAnsi="Garamond" w:cs="Times New Roman"/>
          <w:sz w:val="28"/>
          <w:szCs w:val="28"/>
          <w:lang w:val="es-CL"/>
        </w:rPr>
        <w:t xml:space="preserve">de </w:t>
      </w:r>
      <w:r w:rsidR="00F2524C">
        <w:rPr>
          <w:rFonts w:ascii="Garamond" w:eastAsia="Calibri" w:hAnsi="Garamond" w:cs="Times New Roman"/>
          <w:sz w:val="28"/>
          <w:szCs w:val="28"/>
          <w:lang w:val="es-CL"/>
        </w:rPr>
        <w:t xml:space="preserve">instituciones </w:t>
      </w:r>
      <w:r w:rsidR="00A1287A">
        <w:rPr>
          <w:rFonts w:ascii="Garamond" w:eastAsia="Calibri" w:hAnsi="Garamond" w:cs="Times New Roman"/>
          <w:sz w:val="28"/>
          <w:szCs w:val="28"/>
          <w:lang w:val="es-CL"/>
        </w:rPr>
        <w:t xml:space="preserve">públicas o que administran fondos públicos, 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y de los </w:t>
      </w:r>
      <w:r w:rsidR="00703399">
        <w:rPr>
          <w:rFonts w:ascii="Garamond" w:eastAsia="Calibri" w:hAnsi="Garamond" w:cs="Times New Roman"/>
          <w:sz w:val="28"/>
          <w:szCs w:val="28"/>
          <w:lang w:val="es-CL"/>
        </w:rPr>
        <w:t>demás s</w:t>
      </w:r>
      <w:r w:rsidR="00F2524C" w:rsidRPr="00F2524C">
        <w:rPr>
          <w:rFonts w:ascii="Garamond" w:eastAsia="Calibri" w:hAnsi="Garamond" w:cs="Times New Roman"/>
          <w:sz w:val="28"/>
          <w:szCs w:val="28"/>
          <w:lang w:val="es-CL"/>
        </w:rPr>
        <w:t>ervicios o en</w:t>
      </w:r>
      <w:r w:rsidR="00ED5B88">
        <w:rPr>
          <w:rFonts w:ascii="Garamond" w:eastAsia="Calibri" w:hAnsi="Garamond" w:cs="Times New Roman"/>
          <w:sz w:val="28"/>
          <w:szCs w:val="28"/>
          <w:lang w:val="es-CL"/>
        </w:rPr>
        <w:t xml:space="preserve">tidades sometidos a su </w:t>
      </w:r>
      <w:r w:rsidR="00703399">
        <w:rPr>
          <w:rFonts w:ascii="Garamond" w:eastAsia="Calibri" w:hAnsi="Garamond" w:cs="Times New Roman"/>
          <w:sz w:val="28"/>
          <w:szCs w:val="28"/>
          <w:lang w:val="es-CL"/>
        </w:rPr>
        <w:t>fiscalización.</w:t>
      </w:r>
    </w:p>
    <w:p w:rsidR="00874F9F" w:rsidRDefault="00874F9F" w:rsidP="00F2524C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     Por otra parte, muchas autoridades del Estado deben declarar intereses y patrimonio al momento de entrar a servir un cargo como cuando lo dejan y dichas declaraciones son claves para que los controles y contrapesos institucionales</w:t>
      </w:r>
      <w:r w:rsidR="009A5F62">
        <w:rPr>
          <w:rFonts w:ascii="Garamond" w:eastAsia="Calibri" w:hAnsi="Garamond" w:cs="Times New Roman"/>
          <w:sz w:val="28"/>
          <w:szCs w:val="28"/>
          <w:lang w:val="es-CL"/>
        </w:rPr>
        <w:t>,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la ciudadanía</w:t>
      </w:r>
      <w:r w:rsidR="009A5F62">
        <w:rPr>
          <w:rFonts w:ascii="Garamond" w:eastAsia="Calibri" w:hAnsi="Garamond" w:cs="Times New Roman"/>
          <w:sz w:val="28"/>
          <w:szCs w:val="28"/>
          <w:lang w:val="es-CL"/>
        </w:rPr>
        <w:t xml:space="preserve"> y otros,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ejerzan su rol fiscalizador</w:t>
      </w:r>
      <w:r w:rsidR="009A5F62">
        <w:rPr>
          <w:rFonts w:ascii="Garamond" w:eastAsia="Calibri" w:hAnsi="Garamond" w:cs="Times New Roman"/>
          <w:sz w:val="28"/>
          <w:szCs w:val="28"/>
          <w:lang w:val="es-CL"/>
        </w:rPr>
        <w:t>.</w:t>
      </w:r>
    </w:p>
    <w:p w:rsidR="00ED5B88" w:rsidRPr="00874F9F" w:rsidRDefault="00ED5B88" w:rsidP="00874F9F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   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>Por todo esto, podemos decir que l</w:t>
      </w:r>
      <w:r>
        <w:rPr>
          <w:rFonts w:ascii="Garamond" w:eastAsia="Calibri" w:hAnsi="Garamond" w:cs="Times New Roman"/>
          <w:sz w:val="28"/>
          <w:szCs w:val="28"/>
          <w:lang w:val="es-CL"/>
        </w:rPr>
        <w:t>os últimos años el avance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 en materia de transparencia ha sido sostenido y permanente</w:t>
      </w:r>
      <w:r>
        <w:rPr>
          <w:rFonts w:ascii="Garamond" w:eastAsia="Calibri" w:hAnsi="Garamond" w:cs="Times New Roman"/>
          <w:sz w:val="28"/>
          <w:szCs w:val="28"/>
          <w:lang w:val="es-CL"/>
        </w:rPr>
        <w:t>. En lo relativo al Poder Legislativo, se dic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>tó la ley n° 20.285 el año 2009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la cual estableció que </w:t>
      </w:r>
      <w:r w:rsidRPr="00ED5B88">
        <w:rPr>
          <w:rFonts w:ascii="Garamond" w:eastAsia="Calibri" w:hAnsi="Garamond" w:cs="Times New Roman"/>
          <w:sz w:val="28"/>
          <w:szCs w:val="28"/>
          <w:lang w:val="es-CL"/>
        </w:rPr>
        <w:t>l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os </w:t>
      </w:r>
      <w:r>
        <w:rPr>
          <w:rFonts w:ascii="Garamond" w:eastAsia="Calibri" w:hAnsi="Garamond" w:cs="Times New Roman"/>
          <w:sz w:val="28"/>
          <w:szCs w:val="28"/>
          <w:lang w:val="es-CL"/>
        </w:rPr>
        <w:lastRenderedPageBreak/>
        <w:t xml:space="preserve">distintos órganos del Estado 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debían mantener actualizados </w:t>
      </w:r>
      <w:r w:rsidRPr="00ED5B88">
        <w:rPr>
          <w:rFonts w:ascii="Garamond" w:eastAsia="Calibri" w:hAnsi="Garamond" w:cs="Times New Roman"/>
          <w:sz w:val="28"/>
          <w:szCs w:val="28"/>
          <w:lang w:val="es-CL"/>
        </w:rPr>
        <w:t>en sus página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s web, una serie de datos de su </w:t>
      </w:r>
      <w:r w:rsidRPr="00ED5B88">
        <w:rPr>
          <w:rFonts w:ascii="Garamond" w:eastAsia="Calibri" w:hAnsi="Garamond" w:cs="Times New Roman"/>
          <w:sz w:val="28"/>
          <w:szCs w:val="28"/>
          <w:lang w:val="es-CL"/>
        </w:rPr>
        <w:t>estructura, recursos y gestión pública, elementos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>y además</w:t>
      </w:r>
      <w:r w:rsidRPr="00ED5B88">
        <w:rPr>
          <w:rFonts w:ascii="Garamond" w:eastAsia="Calibri" w:hAnsi="Garamond" w:cs="Times New Roman"/>
          <w:sz w:val="28"/>
          <w:szCs w:val="28"/>
          <w:lang w:val="es-CL"/>
        </w:rPr>
        <w:t xml:space="preserve"> responder los requerimiento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>s de la ciudadanía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a través de </w:t>
      </w:r>
      <w:r w:rsidRPr="00ED5B88">
        <w:rPr>
          <w:rFonts w:ascii="Garamond" w:eastAsia="Calibri" w:hAnsi="Garamond" w:cs="Times New Roman"/>
          <w:sz w:val="28"/>
          <w:szCs w:val="28"/>
          <w:lang w:val="es-CL"/>
        </w:rPr>
        <w:t>procedimientos de transparencia pasiva.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 w:rsidR="00874F9F" w:rsidRPr="00874F9F">
        <w:rPr>
          <w:rFonts w:ascii="Garamond" w:eastAsia="Calibri" w:hAnsi="Garamond" w:cs="Times New Roman"/>
          <w:sz w:val="28"/>
          <w:szCs w:val="28"/>
          <w:lang w:val="es-CL"/>
        </w:rPr>
        <w:t>De forma activa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 en tanto</w:t>
      </w:r>
      <w:r w:rsidR="00874F9F" w:rsidRPr="00874F9F">
        <w:rPr>
          <w:rFonts w:ascii="Garamond" w:eastAsia="Calibri" w:hAnsi="Garamond" w:cs="Times New Roman"/>
          <w:sz w:val="28"/>
          <w:szCs w:val="28"/>
          <w:lang w:val="es-CL"/>
        </w:rPr>
        <w:t>, ambas cámaras del Congreso tienen hoy el deber de mantener en sus sitios web un conjunto de antecedentes actualizados mensualmente, los cuales están detallados en el artículo 7° de la Ley n° 20.285.</w:t>
      </w:r>
    </w:p>
    <w:p w:rsidR="00DA7F65" w:rsidRDefault="00E66333" w:rsidP="00ED5B88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    De igual manera, la ley n</w:t>
      </w:r>
      <w:r w:rsidR="009B0BFE">
        <w:rPr>
          <w:rFonts w:ascii="Garamond" w:eastAsia="Calibri" w:hAnsi="Garamond" w:cs="Times New Roman"/>
          <w:sz w:val="28"/>
          <w:szCs w:val="28"/>
          <w:lang w:val="es-CL"/>
        </w:rPr>
        <w:t>° 20.447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que modificó</w:t>
      </w:r>
      <w:r w:rsidR="00ED5B88" w:rsidRPr="00ED5B88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>
        <w:rPr>
          <w:rFonts w:ascii="Garamond" w:eastAsia="Calibri" w:hAnsi="Garamond" w:cs="Times New Roman"/>
          <w:sz w:val="28"/>
          <w:szCs w:val="28"/>
          <w:lang w:val="es-CL"/>
        </w:rPr>
        <w:t>la l</w:t>
      </w:r>
      <w:r w:rsidR="00ED5B88" w:rsidRPr="00ED5B88">
        <w:rPr>
          <w:rFonts w:ascii="Garamond" w:eastAsia="Calibri" w:hAnsi="Garamond" w:cs="Times New Roman"/>
          <w:sz w:val="28"/>
          <w:szCs w:val="28"/>
          <w:lang w:val="es-CL"/>
        </w:rPr>
        <w:t>ey Orgánica Const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itucional del Congreso (ley n°18.918) </w:t>
      </w:r>
      <w:r w:rsidR="009B0BFE">
        <w:rPr>
          <w:rFonts w:ascii="Garamond" w:eastAsia="Calibri" w:hAnsi="Garamond" w:cs="Times New Roman"/>
          <w:sz w:val="28"/>
          <w:szCs w:val="28"/>
          <w:lang w:val="es-CL"/>
        </w:rPr>
        <w:t>creó un sistema para</w:t>
      </w:r>
      <w:r w:rsidR="00ED5B88" w:rsidRPr="00ED5B88">
        <w:rPr>
          <w:rFonts w:ascii="Garamond" w:eastAsia="Calibri" w:hAnsi="Garamond" w:cs="Times New Roman"/>
          <w:sz w:val="28"/>
          <w:szCs w:val="28"/>
          <w:lang w:val="es-CL"/>
        </w:rPr>
        <w:t xml:space="preserve"> transparentar lo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s recursos de las corporaciones </w:t>
      </w:r>
      <w:r w:rsidR="009B0BFE">
        <w:rPr>
          <w:rFonts w:ascii="Garamond" w:eastAsia="Calibri" w:hAnsi="Garamond" w:cs="Times New Roman"/>
          <w:sz w:val="28"/>
          <w:szCs w:val="28"/>
          <w:lang w:val="es-CL"/>
        </w:rPr>
        <w:t xml:space="preserve">del Congreso: </w:t>
      </w:r>
      <w:r w:rsidR="00ED5B88" w:rsidRPr="00ED5B88">
        <w:rPr>
          <w:rFonts w:ascii="Garamond" w:eastAsia="Calibri" w:hAnsi="Garamond" w:cs="Times New Roman"/>
          <w:sz w:val="28"/>
          <w:szCs w:val="28"/>
          <w:lang w:val="es-CL"/>
        </w:rPr>
        <w:t>el Consejo Resolutivo de Asignacione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s Parlamentarias y el Comité de </w:t>
      </w:r>
      <w:r w:rsidR="00ED5B88" w:rsidRPr="00ED5B88">
        <w:rPr>
          <w:rFonts w:ascii="Garamond" w:eastAsia="Calibri" w:hAnsi="Garamond" w:cs="Times New Roman"/>
          <w:sz w:val="28"/>
          <w:szCs w:val="28"/>
          <w:lang w:val="es-CL"/>
        </w:rPr>
        <w:t>Auditoría Parlame</w:t>
      </w:r>
      <w:r w:rsidR="009B0BFE">
        <w:rPr>
          <w:rFonts w:ascii="Garamond" w:eastAsia="Calibri" w:hAnsi="Garamond" w:cs="Times New Roman"/>
          <w:sz w:val="28"/>
          <w:szCs w:val="28"/>
          <w:lang w:val="es-CL"/>
        </w:rPr>
        <w:t xml:space="preserve">ntaria. </w:t>
      </w:r>
    </w:p>
    <w:p w:rsidR="00874F9F" w:rsidRDefault="004B41FC" w:rsidP="00C30DBA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    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Y por último, vemos como adelanto en materia de transparencia </w:t>
      </w:r>
      <w:r w:rsidR="00F837C9">
        <w:rPr>
          <w:rFonts w:ascii="Garamond" w:eastAsia="Calibri" w:hAnsi="Garamond" w:cs="Times New Roman"/>
          <w:sz w:val="28"/>
          <w:szCs w:val="28"/>
          <w:lang w:val="es-CL"/>
        </w:rPr>
        <w:t>la ley n°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19.</w:t>
      </w:r>
      <w:r w:rsidR="00F837C9">
        <w:rPr>
          <w:rFonts w:ascii="Garamond" w:eastAsia="Calibri" w:hAnsi="Garamond" w:cs="Times New Roman"/>
          <w:sz w:val="28"/>
          <w:szCs w:val="28"/>
          <w:lang w:val="es-CL"/>
        </w:rPr>
        <w:t>653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 que</w:t>
      </w:r>
      <w:r w:rsidR="00F837C9">
        <w:rPr>
          <w:rFonts w:ascii="Garamond" w:eastAsia="Calibri" w:hAnsi="Garamond" w:cs="Times New Roman"/>
          <w:sz w:val="28"/>
          <w:szCs w:val="28"/>
          <w:lang w:val="es-CL"/>
        </w:rPr>
        <w:t xml:space="preserve"> agregó</w:t>
      </w:r>
      <w:r w:rsidR="00C30DBA">
        <w:rPr>
          <w:rFonts w:ascii="Garamond" w:eastAsia="Calibri" w:hAnsi="Garamond" w:cs="Times New Roman"/>
          <w:sz w:val="28"/>
          <w:szCs w:val="28"/>
          <w:lang w:val="es-CL"/>
        </w:rPr>
        <w:t xml:space="preserve"> el artículo 5°</w:t>
      </w:r>
      <w:r>
        <w:rPr>
          <w:rFonts w:ascii="Garamond" w:eastAsia="Calibri" w:hAnsi="Garamond" w:cs="Times New Roman"/>
          <w:sz w:val="28"/>
          <w:szCs w:val="28"/>
          <w:lang w:val="es-CL"/>
        </w:rPr>
        <w:t>A de la ley n° 18.918 Orgánica Constitucional del Congreso Nacional</w:t>
      </w:r>
      <w:r w:rsidR="00C30DBA">
        <w:rPr>
          <w:rFonts w:ascii="Garamond" w:eastAsia="Calibri" w:hAnsi="Garamond" w:cs="Times New Roman"/>
          <w:sz w:val="28"/>
          <w:szCs w:val="28"/>
          <w:lang w:val="es-CL"/>
        </w:rPr>
        <w:t xml:space="preserve">, </w:t>
      </w:r>
      <w:r w:rsidR="00F837C9">
        <w:rPr>
          <w:rFonts w:ascii="Garamond" w:eastAsia="Calibri" w:hAnsi="Garamond" w:cs="Times New Roman"/>
          <w:sz w:val="28"/>
          <w:szCs w:val="28"/>
          <w:lang w:val="es-CL"/>
        </w:rPr>
        <w:t xml:space="preserve">modificada posteriormente por </w:t>
      </w:r>
      <w:r w:rsidR="00F837C9" w:rsidRPr="00F837C9">
        <w:rPr>
          <w:rFonts w:ascii="Garamond" w:eastAsia="Calibri" w:hAnsi="Garamond" w:cs="Times New Roman"/>
          <w:sz w:val="28"/>
          <w:szCs w:val="28"/>
          <w:lang w:val="es-CL"/>
        </w:rPr>
        <w:t>la ley n° 20.447</w:t>
      </w:r>
      <w:r w:rsidR="00F837C9">
        <w:rPr>
          <w:rFonts w:ascii="Garamond" w:eastAsia="Calibri" w:hAnsi="Garamond" w:cs="Times New Roman"/>
          <w:sz w:val="28"/>
          <w:szCs w:val="28"/>
          <w:lang w:val="es-CL"/>
        </w:rPr>
        <w:t>,</w:t>
      </w:r>
      <w:r w:rsidR="00F837C9" w:rsidRPr="00F837C9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>la cual vino a consagrar</w:t>
      </w:r>
      <w:r w:rsidR="009A5F62">
        <w:rPr>
          <w:rFonts w:ascii="Garamond" w:eastAsia="Calibri" w:hAnsi="Garamond" w:cs="Times New Roman"/>
          <w:sz w:val="28"/>
          <w:szCs w:val="28"/>
          <w:lang w:val="es-CL"/>
        </w:rPr>
        <w:t xml:space="preserve"> en qué consiste este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principio de transparencia para el Poder Legislativo. </w:t>
      </w:r>
    </w:p>
    <w:p w:rsidR="00C30DBA" w:rsidRPr="00874F9F" w:rsidRDefault="00817D7F" w:rsidP="00C30DBA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    </w:t>
      </w:r>
      <w:r w:rsidR="004B41FC">
        <w:rPr>
          <w:rFonts w:ascii="Garamond" w:eastAsia="Calibri" w:hAnsi="Garamond" w:cs="Times New Roman"/>
          <w:sz w:val="28"/>
          <w:szCs w:val="28"/>
          <w:lang w:val="es-CL"/>
        </w:rPr>
        <w:t>Dicho artículo 5ºA establece que:</w:t>
      </w:r>
      <w:r w:rsidR="00874F9F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 w:rsidR="004B41FC" w:rsidRPr="004B41FC">
        <w:rPr>
          <w:rFonts w:ascii="Garamond" w:eastAsia="Calibri" w:hAnsi="Garamond" w:cs="Times New Roman"/>
          <w:i/>
          <w:sz w:val="28"/>
          <w:szCs w:val="28"/>
          <w:lang w:val="es-CL"/>
        </w:rPr>
        <w:t>“</w:t>
      </w:r>
      <w:r w:rsidR="00C30DBA" w:rsidRPr="004B41FC">
        <w:rPr>
          <w:rFonts w:ascii="Garamond" w:eastAsia="Calibri" w:hAnsi="Garamond" w:cs="Times New Roman"/>
          <w:i/>
          <w:sz w:val="28"/>
          <w:szCs w:val="28"/>
          <w:lang w:val="es-CL"/>
        </w:rPr>
        <w:t>Los diputados y senadores ejercerán sus funciones con ple</w:t>
      </w:r>
      <w:r w:rsidR="009A5F62">
        <w:rPr>
          <w:rFonts w:ascii="Garamond" w:eastAsia="Calibri" w:hAnsi="Garamond" w:cs="Times New Roman"/>
          <w:i/>
          <w:sz w:val="28"/>
          <w:szCs w:val="28"/>
          <w:lang w:val="es-CL"/>
        </w:rPr>
        <w:t>no respeto de los principios de</w:t>
      </w:r>
      <w:r w:rsidR="00C30DBA" w:rsidRPr="004B41FC">
        <w:rPr>
          <w:rFonts w:ascii="Garamond" w:eastAsia="Calibri" w:hAnsi="Garamond" w:cs="Times New Roman"/>
          <w:i/>
          <w:sz w:val="28"/>
          <w:szCs w:val="28"/>
          <w:lang w:val="es-CL"/>
        </w:rPr>
        <w:t xml:space="preserve"> probidad y transparencia, en los términos que </w:t>
      </w:r>
      <w:r w:rsidR="005168AA">
        <w:rPr>
          <w:rFonts w:ascii="Garamond" w:eastAsia="Calibri" w:hAnsi="Garamond" w:cs="Times New Roman"/>
          <w:i/>
          <w:sz w:val="28"/>
          <w:szCs w:val="28"/>
          <w:lang w:val="es-CL"/>
        </w:rPr>
        <w:t>señalen</w:t>
      </w:r>
      <w:r w:rsidR="00C30DBA" w:rsidRPr="004B41FC">
        <w:rPr>
          <w:rFonts w:ascii="Garamond" w:eastAsia="Calibri" w:hAnsi="Garamond" w:cs="Times New Roman"/>
          <w:i/>
          <w:sz w:val="28"/>
          <w:szCs w:val="28"/>
          <w:lang w:val="es-CL"/>
        </w:rPr>
        <w:t xml:space="preserve"> la Constitución Política, esta ley orgánica constitucional y los reglamentos de ambas Cámaras.</w:t>
      </w:r>
      <w:r w:rsidR="004B41FC">
        <w:rPr>
          <w:rFonts w:ascii="Garamond" w:eastAsia="Calibri" w:hAnsi="Garamond" w:cs="Times New Roman"/>
          <w:i/>
          <w:sz w:val="28"/>
          <w:szCs w:val="28"/>
          <w:lang w:val="es-CL"/>
        </w:rPr>
        <w:t>……..</w:t>
      </w:r>
    </w:p>
    <w:p w:rsidR="00237657" w:rsidRPr="00845A75" w:rsidRDefault="004B41FC" w:rsidP="009B0BFE">
      <w:pPr>
        <w:spacing w:line="360" w:lineRule="auto"/>
        <w:jc w:val="both"/>
        <w:rPr>
          <w:rFonts w:ascii="Garamond" w:eastAsia="Calibri" w:hAnsi="Garamond" w:cs="Times New Roman"/>
          <w:i/>
          <w:sz w:val="28"/>
          <w:szCs w:val="28"/>
          <w:lang w:val="es-CL"/>
        </w:rPr>
      </w:pPr>
      <w:r>
        <w:rPr>
          <w:rFonts w:ascii="Garamond" w:eastAsia="Calibri" w:hAnsi="Garamond" w:cs="Times New Roman"/>
          <w:i/>
          <w:sz w:val="28"/>
          <w:szCs w:val="28"/>
          <w:lang w:val="es-CL"/>
        </w:rPr>
        <w:t xml:space="preserve">Inciso </w:t>
      </w:r>
      <w:r w:rsidR="00874F9F">
        <w:rPr>
          <w:rFonts w:ascii="Garamond" w:eastAsia="Calibri" w:hAnsi="Garamond" w:cs="Times New Roman"/>
          <w:i/>
          <w:sz w:val="28"/>
          <w:szCs w:val="28"/>
          <w:lang w:val="es-CL"/>
        </w:rPr>
        <w:t>3ero</w:t>
      </w:r>
      <w:r>
        <w:rPr>
          <w:rFonts w:ascii="Garamond" w:eastAsia="Calibri" w:hAnsi="Garamond" w:cs="Times New Roman"/>
          <w:i/>
          <w:sz w:val="28"/>
          <w:szCs w:val="28"/>
          <w:lang w:val="es-CL"/>
        </w:rPr>
        <w:t xml:space="preserve">: </w:t>
      </w:r>
      <w:r w:rsidR="00C30DBA" w:rsidRPr="004B41FC">
        <w:rPr>
          <w:rFonts w:ascii="Garamond" w:eastAsia="Calibri" w:hAnsi="Garamond" w:cs="Times New Roman"/>
          <w:i/>
          <w:sz w:val="28"/>
          <w:szCs w:val="28"/>
          <w:lang w:val="es-CL"/>
        </w:rPr>
        <w:t>El principio de transparencia consiste en permitir y promover el conocimiento y publicidad de los actos y resoluciones que adopten los diputados y senadores en el ejercicio de sus funciones en la Sala y en las comisiones, así como las Cámaras y sus órganos internos, y de sus fundamentos y de los procedimientos que utilicen.</w:t>
      </w:r>
      <w:r>
        <w:rPr>
          <w:rFonts w:ascii="Garamond" w:eastAsia="Calibri" w:hAnsi="Garamond" w:cs="Times New Roman"/>
          <w:i/>
          <w:sz w:val="28"/>
          <w:szCs w:val="28"/>
          <w:lang w:val="es-CL"/>
        </w:rPr>
        <w:t>”</w:t>
      </w:r>
    </w:p>
    <w:p w:rsidR="00845A75" w:rsidRDefault="00874F9F" w:rsidP="00463948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   </w:t>
      </w:r>
      <w:r w:rsidR="00817D7F">
        <w:rPr>
          <w:rFonts w:ascii="Garamond" w:eastAsia="Calibri" w:hAnsi="Garamond" w:cs="Times New Roman"/>
          <w:sz w:val="28"/>
          <w:szCs w:val="28"/>
          <w:lang w:val="es-CL"/>
        </w:rPr>
        <w:t xml:space="preserve">   P</w:t>
      </w:r>
      <w:r w:rsidR="00817D7F" w:rsidRPr="00817D7F">
        <w:rPr>
          <w:rFonts w:ascii="Garamond" w:eastAsia="Calibri" w:hAnsi="Garamond" w:cs="Times New Roman"/>
          <w:sz w:val="28"/>
          <w:szCs w:val="28"/>
          <w:lang w:val="es-CL"/>
        </w:rPr>
        <w:t>or su parte</w:t>
      </w:r>
      <w:r w:rsidR="00817D7F">
        <w:rPr>
          <w:rFonts w:ascii="Garamond" w:eastAsia="Calibri" w:hAnsi="Garamond" w:cs="Times New Roman"/>
          <w:sz w:val="28"/>
          <w:szCs w:val="28"/>
          <w:lang w:val="es-CL"/>
        </w:rPr>
        <w:t>, e</w:t>
      </w:r>
      <w:r>
        <w:rPr>
          <w:rFonts w:ascii="Garamond" w:eastAsia="Calibri" w:hAnsi="Garamond" w:cs="Times New Roman"/>
          <w:sz w:val="28"/>
          <w:szCs w:val="28"/>
          <w:lang w:val="es-CL"/>
        </w:rPr>
        <w:t>l año 2015</w:t>
      </w:r>
      <w:r w:rsidR="00817D7F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la ley n° 20.854 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introdujo el artículo 56 bis en 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>la Constitución Política de la República</w:t>
      </w:r>
      <w:r>
        <w:rPr>
          <w:rFonts w:ascii="Garamond" w:eastAsia="Calibri" w:hAnsi="Garamond" w:cs="Times New Roman"/>
          <w:sz w:val="28"/>
          <w:szCs w:val="28"/>
          <w:lang w:val="es-CL"/>
        </w:rPr>
        <w:t>,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>
        <w:rPr>
          <w:rFonts w:ascii="Garamond" w:eastAsia="Calibri" w:hAnsi="Garamond" w:cs="Times New Roman"/>
          <w:sz w:val="28"/>
          <w:szCs w:val="28"/>
          <w:lang w:val="es-CL"/>
        </w:rPr>
        <w:t>en cuyo inciso tercero</w:t>
      </w:r>
      <w:r w:rsidRPr="00874F9F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 w:rsidR="002975A5">
        <w:rPr>
          <w:rFonts w:ascii="Garamond" w:eastAsia="Calibri" w:hAnsi="Garamond" w:cs="Times New Roman"/>
          <w:sz w:val="28"/>
          <w:szCs w:val="28"/>
          <w:lang w:val="es-CL"/>
        </w:rPr>
        <w:t>obliga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en</w:t>
      </w:r>
      <w:r w:rsidR="00817D7F">
        <w:rPr>
          <w:rFonts w:ascii="Garamond" w:eastAsia="Calibri" w:hAnsi="Garamond" w:cs="Times New Roman"/>
          <w:sz w:val="28"/>
          <w:szCs w:val="28"/>
          <w:lang w:val="es-CL"/>
        </w:rPr>
        <w:t xml:space="preserve"> el mes</w:t>
      </w:r>
      <w:r w:rsidR="00845A75" w:rsidRP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j</w:t>
      </w:r>
      <w:r w:rsidR="002975A5">
        <w:rPr>
          <w:rFonts w:ascii="Garamond" w:eastAsia="Calibri" w:hAnsi="Garamond" w:cs="Times New Roman"/>
          <w:sz w:val="28"/>
          <w:szCs w:val="28"/>
          <w:lang w:val="es-CL"/>
        </w:rPr>
        <w:t>ulio de cada año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al Presidente del Senado y a</w:t>
      </w:r>
      <w:r w:rsidR="00845A75" w:rsidRPr="00845A75">
        <w:rPr>
          <w:rFonts w:ascii="Garamond" w:eastAsia="Calibri" w:hAnsi="Garamond" w:cs="Times New Roman"/>
          <w:sz w:val="28"/>
          <w:szCs w:val="28"/>
          <w:lang w:val="es-CL"/>
        </w:rPr>
        <w:t>l Presidente de la Cámara de Diputados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a dar cuenta pública al país </w:t>
      </w:r>
      <w:r w:rsidR="00845A75" w:rsidRPr="00845A75">
        <w:rPr>
          <w:rFonts w:ascii="Garamond" w:eastAsia="Calibri" w:hAnsi="Garamond" w:cs="Times New Roman"/>
          <w:sz w:val="28"/>
          <w:szCs w:val="28"/>
          <w:lang w:val="es-CL"/>
        </w:rPr>
        <w:t>de las actividades realizadas por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las 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lastRenderedPageBreak/>
        <w:t>Corporaci</w:t>
      </w:r>
      <w:r>
        <w:rPr>
          <w:rFonts w:ascii="Garamond" w:eastAsia="Calibri" w:hAnsi="Garamond" w:cs="Times New Roman"/>
          <w:sz w:val="28"/>
          <w:szCs w:val="28"/>
          <w:lang w:val="es-CL"/>
        </w:rPr>
        <w:t>ones que presiden.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  <w:r w:rsidR="00817D7F">
        <w:rPr>
          <w:rFonts w:ascii="Garamond" w:eastAsia="Calibri" w:hAnsi="Garamond" w:cs="Times New Roman"/>
          <w:sz w:val="28"/>
          <w:szCs w:val="28"/>
          <w:lang w:val="es-CL"/>
        </w:rPr>
        <w:t>En consonancia con esto</w:t>
      </w:r>
      <w:r>
        <w:rPr>
          <w:rFonts w:ascii="Garamond" w:eastAsia="Calibri" w:hAnsi="Garamond" w:cs="Times New Roman"/>
          <w:sz w:val="28"/>
          <w:szCs w:val="28"/>
          <w:lang w:val="es-CL"/>
        </w:rPr>
        <w:t>,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pensamos que cad</w:t>
      </w:r>
      <w:r>
        <w:rPr>
          <w:rFonts w:ascii="Garamond" w:eastAsia="Calibri" w:hAnsi="Garamond" w:cs="Times New Roman"/>
          <w:sz w:val="28"/>
          <w:szCs w:val="28"/>
          <w:lang w:val="es-CL"/>
        </w:rPr>
        <w:t>a parlamentario y parlamentaria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haciendo uso de las herramientas que hoy existen, debe </w:t>
      </w:r>
      <w:r w:rsidR="00817D7F">
        <w:rPr>
          <w:rFonts w:ascii="Garamond" w:eastAsia="Calibri" w:hAnsi="Garamond" w:cs="Times New Roman"/>
          <w:sz w:val="28"/>
          <w:szCs w:val="28"/>
          <w:lang w:val="es-CL"/>
        </w:rPr>
        <w:t xml:space="preserve">además 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>poner a disposición de la ciudadanía</w:t>
      </w:r>
      <w:r w:rsidR="002975A5">
        <w:rPr>
          <w:rFonts w:ascii="Garamond" w:eastAsia="Calibri" w:hAnsi="Garamond" w:cs="Times New Roman"/>
          <w:sz w:val="28"/>
          <w:szCs w:val="28"/>
          <w:lang w:val="es-CL"/>
        </w:rPr>
        <w:t xml:space="preserve"> su rendición de cuentas con especificación de las actividades más importantes que hayan desempeñado en sala y en comisión, así como en sus respectivos distritos o circunscripciones.</w:t>
      </w:r>
      <w:r w:rsidR="00845A75">
        <w:rPr>
          <w:rFonts w:ascii="Garamond" w:eastAsia="Calibri" w:hAnsi="Garamond" w:cs="Times New Roman"/>
          <w:sz w:val="28"/>
          <w:szCs w:val="28"/>
          <w:lang w:val="es-CL"/>
        </w:rPr>
        <w:t xml:space="preserve"> </w:t>
      </w:r>
    </w:p>
    <w:p w:rsidR="00671A73" w:rsidRPr="00671A73" w:rsidRDefault="004F24C9" w:rsidP="00671A73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    Esta proposición</w:t>
      </w:r>
      <w:r w:rsidR="00671A73">
        <w:rPr>
          <w:rFonts w:ascii="Garamond" w:eastAsia="Calibri" w:hAnsi="Garamond" w:cs="Times New Roman"/>
          <w:sz w:val="28"/>
          <w:szCs w:val="28"/>
          <w:lang w:val="es-CL"/>
        </w:rPr>
        <w:t>,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en la que cada parlamentario está</w:t>
      </w:r>
      <w:r w:rsidR="00463948" w:rsidRPr="00463948">
        <w:rPr>
          <w:rFonts w:ascii="Garamond" w:eastAsia="Calibri" w:hAnsi="Garamond" w:cs="Times New Roman"/>
          <w:sz w:val="28"/>
          <w:szCs w:val="28"/>
          <w:lang w:val="es-CL"/>
        </w:rPr>
        <w:t xml:space="preserve"> obligado a dar cuenta de las labores realizadas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en el ejercicio de su</w:t>
      </w:r>
      <w:r w:rsidR="00671A73">
        <w:rPr>
          <w:rFonts w:ascii="Garamond" w:eastAsia="Calibri" w:hAnsi="Garamond" w:cs="Times New Roman"/>
          <w:sz w:val="28"/>
          <w:szCs w:val="28"/>
          <w:lang w:val="es-CL"/>
        </w:rPr>
        <w:t xml:space="preserve"> cargo, se traduce sin duda alguna</w:t>
      </w:r>
      <w:r>
        <w:rPr>
          <w:rFonts w:ascii="Garamond" w:eastAsia="Calibri" w:hAnsi="Garamond" w:cs="Times New Roman"/>
          <w:sz w:val="28"/>
          <w:szCs w:val="28"/>
          <w:lang w:val="es-CL"/>
        </w:rPr>
        <w:t xml:space="preserve"> en </w:t>
      </w:r>
      <w:r w:rsidR="00463948" w:rsidRPr="00463948">
        <w:rPr>
          <w:rFonts w:ascii="Garamond" w:eastAsia="Calibri" w:hAnsi="Garamond" w:cs="Times New Roman"/>
          <w:sz w:val="28"/>
          <w:szCs w:val="28"/>
          <w:lang w:val="es-CL"/>
        </w:rPr>
        <w:t xml:space="preserve">un ejercicio de </w:t>
      </w:r>
      <w:r w:rsidR="00463948" w:rsidRPr="00463948">
        <w:rPr>
          <w:rFonts w:ascii="Garamond" w:eastAsia="Calibri" w:hAnsi="Garamond" w:cs="Times New Roman"/>
          <w:b/>
          <w:i/>
          <w:sz w:val="28"/>
          <w:szCs w:val="28"/>
          <w:lang w:val="es-CL"/>
        </w:rPr>
        <w:t>accountability</w:t>
      </w:r>
      <w:r w:rsidR="00671A73">
        <w:rPr>
          <w:rFonts w:ascii="Garamond" w:eastAsia="Calibri" w:hAnsi="Garamond" w:cs="Times New Roman"/>
          <w:sz w:val="28"/>
          <w:szCs w:val="28"/>
          <w:lang w:val="es-CL"/>
        </w:rPr>
        <w:t xml:space="preserve"> en el que debemos perseverar como ciudadanía</w:t>
      </w:r>
      <w:r w:rsidR="00817D7F">
        <w:rPr>
          <w:rFonts w:ascii="Garamond" w:eastAsia="Calibri" w:hAnsi="Garamond" w:cs="Times New Roman"/>
          <w:sz w:val="28"/>
          <w:szCs w:val="28"/>
          <w:lang w:val="es-CL"/>
        </w:rPr>
        <w:t>.</w:t>
      </w:r>
    </w:p>
    <w:p w:rsidR="00671A73" w:rsidRDefault="00671A73" w:rsidP="008A4B2F">
      <w:pPr>
        <w:spacing w:after="0" w:line="360" w:lineRule="auto"/>
        <w:jc w:val="both"/>
        <w:rPr>
          <w:rFonts w:ascii="Garamond" w:eastAsia="Times New Roman" w:hAnsi="Garamond" w:cs="Times New Roman"/>
          <w:sz w:val="28"/>
          <w:szCs w:val="20"/>
          <w:lang w:val="es-CL" w:eastAsia="es-CL"/>
        </w:rPr>
      </w:pPr>
    </w:p>
    <w:p w:rsidR="008A4B2F" w:rsidRDefault="008A4B2F" w:rsidP="008A4B2F">
      <w:pPr>
        <w:spacing w:after="0" w:line="360" w:lineRule="auto"/>
        <w:jc w:val="both"/>
        <w:rPr>
          <w:rFonts w:ascii="Garamond" w:eastAsia="Times New Roman" w:hAnsi="Garamond" w:cs="Times New Roman"/>
          <w:sz w:val="28"/>
          <w:szCs w:val="20"/>
          <w:lang w:val="es-CL" w:eastAsia="es-CL"/>
        </w:rPr>
      </w:pPr>
      <w:r w:rsidRPr="008A7078">
        <w:rPr>
          <w:rFonts w:ascii="Garamond" w:eastAsia="Times New Roman" w:hAnsi="Garamond" w:cs="Times New Roman"/>
          <w:sz w:val="28"/>
          <w:szCs w:val="20"/>
          <w:lang w:val="es-CL" w:eastAsia="es-CL"/>
        </w:rPr>
        <w:t xml:space="preserve">Por lo anteriormente señalado, y en atención a lo previsto en la Constitución Política de la República, </w:t>
      </w:r>
      <w:r>
        <w:rPr>
          <w:rFonts w:ascii="Garamond" w:eastAsia="Times New Roman" w:hAnsi="Garamond" w:cs="Times New Roman"/>
          <w:sz w:val="28"/>
          <w:szCs w:val="20"/>
          <w:lang w:val="es-CL" w:eastAsia="es-CL"/>
        </w:rPr>
        <w:t>el diputado que suscribe, somete</w:t>
      </w:r>
      <w:r w:rsidRPr="008A7078">
        <w:rPr>
          <w:rFonts w:ascii="Garamond" w:eastAsia="Times New Roman" w:hAnsi="Garamond" w:cs="Times New Roman"/>
          <w:sz w:val="28"/>
          <w:szCs w:val="20"/>
          <w:lang w:val="es-CL" w:eastAsia="es-CL"/>
        </w:rPr>
        <w:t xml:space="preserve"> a consideración el siguiente:</w:t>
      </w:r>
    </w:p>
    <w:p w:rsidR="008A4B2F" w:rsidRPr="008A7078" w:rsidRDefault="008A4B2F" w:rsidP="008A4B2F">
      <w:pPr>
        <w:spacing w:after="0" w:line="360" w:lineRule="auto"/>
        <w:jc w:val="both"/>
        <w:rPr>
          <w:rFonts w:ascii="Garamond" w:eastAsia="Times New Roman" w:hAnsi="Garamond" w:cs="Times New Roman"/>
          <w:sz w:val="28"/>
          <w:szCs w:val="20"/>
          <w:lang w:val="es-CL" w:eastAsia="es-CL"/>
        </w:rPr>
      </w:pPr>
    </w:p>
    <w:p w:rsidR="008A4B2F" w:rsidRPr="008A7078" w:rsidRDefault="008A4B2F" w:rsidP="008A4B2F">
      <w:pPr>
        <w:spacing w:after="0" w:line="360" w:lineRule="auto"/>
        <w:jc w:val="center"/>
        <w:rPr>
          <w:rFonts w:ascii="Garamond" w:eastAsia="Times New Roman" w:hAnsi="Garamond" w:cs="Times New Roman"/>
          <w:b/>
          <w:sz w:val="28"/>
          <w:szCs w:val="20"/>
          <w:u w:val="single"/>
          <w:lang w:val="es-CL" w:eastAsia="es-CL"/>
        </w:rPr>
      </w:pPr>
      <w:r w:rsidRPr="008A7078">
        <w:rPr>
          <w:rFonts w:ascii="Garamond" w:eastAsia="Times New Roman" w:hAnsi="Garamond" w:cs="Times New Roman"/>
          <w:b/>
          <w:sz w:val="28"/>
          <w:szCs w:val="20"/>
          <w:u w:val="single"/>
          <w:lang w:val="es-CL" w:eastAsia="es-CL"/>
        </w:rPr>
        <w:t>PROYECTO DE LEY:</w:t>
      </w:r>
    </w:p>
    <w:p w:rsidR="00BD6D5A" w:rsidRDefault="00BD6D5A" w:rsidP="008A4B2F">
      <w:pPr>
        <w:spacing w:after="0" w:line="360" w:lineRule="auto"/>
        <w:jc w:val="both"/>
        <w:rPr>
          <w:rFonts w:ascii="Garamond" w:eastAsia="Times New Roman" w:hAnsi="Garamond" w:cs="Times New Roman"/>
          <w:sz w:val="28"/>
          <w:szCs w:val="20"/>
          <w:lang w:val="es-CL" w:eastAsia="es-CL"/>
        </w:rPr>
      </w:pPr>
    </w:p>
    <w:p w:rsidR="00671A73" w:rsidRPr="008A7078" w:rsidRDefault="00671A73" w:rsidP="008A4B2F">
      <w:pPr>
        <w:spacing w:after="0" w:line="360" w:lineRule="auto"/>
        <w:jc w:val="both"/>
        <w:rPr>
          <w:rFonts w:ascii="Garamond" w:eastAsia="Times New Roman" w:hAnsi="Garamond" w:cs="Times New Roman"/>
          <w:sz w:val="28"/>
          <w:szCs w:val="20"/>
          <w:lang w:val="es-CL" w:eastAsia="es-CL"/>
        </w:rPr>
      </w:pPr>
    </w:p>
    <w:p w:rsidR="008A4B2F" w:rsidRDefault="008A4B2F" w:rsidP="008A4B2F">
      <w:pPr>
        <w:spacing w:after="0" w:line="360" w:lineRule="auto"/>
        <w:jc w:val="both"/>
        <w:rPr>
          <w:rFonts w:ascii="Garamond" w:eastAsia="Times New Roman" w:hAnsi="Garamond" w:cs="Times New Roman"/>
          <w:sz w:val="28"/>
          <w:szCs w:val="20"/>
          <w:lang w:val="es-CL" w:eastAsia="es-CL"/>
        </w:rPr>
      </w:pPr>
      <w:r>
        <w:rPr>
          <w:rFonts w:ascii="Garamond" w:eastAsia="Times New Roman" w:hAnsi="Garamond" w:cs="Times New Roman"/>
          <w:sz w:val="28"/>
          <w:szCs w:val="20"/>
          <w:lang w:val="es-CL" w:eastAsia="es-CL"/>
        </w:rPr>
        <w:t>-Artículo único: Agréguese el siguiente</w:t>
      </w:r>
      <w:r w:rsidR="00C30DBA">
        <w:rPr>
          <w:rFonts w:ascii="Garamond" w:eastAsia="Times New Roman" w:hAnsi="Garamond" w:cs="Times New Roman"/>
          <w:sz w:val="28"/>
          <w:szCs w:val="20"/>
          <w:lang w:val="es-CL" w:eastAsia="es-CL"/>
        </w:rPr>
        <w:t xml:space="preserve"> artículo</w:t>
      </w:r>
      <w:r w:rsidR="004F24C9">
        <w:rPr>
          <w:rFonts w:ascii="Garamond" w:eastAsia="Times New Roman" w:hAnsi="Garamond" w:cs="Times New Roman"/>
          <w:sz w:val="28"/>
          <w:szCs w:val="20"/>
          <w:lang w:val="es-CL" w:eastAsia="es-CL"/>
        </w:rPr>
        <w:t xml:space="preserve"> 8 bis</w:t>
      </w:r>
      <w:r>
        <w:rPr>
          <w:rFonts w:ascii="Garamond" w:eastAsia="Times New Roman" w:hAnsi="Garamond" w:cs="Times New Roman"/>
          <w:sz w:val="28"/>
          <w:szCs w:val="20"/>
          <w:lang w:val="es-CL" w:eastAsia="es-CL"/>
        </w:rPr>
        <w:t xml:space="preserve"> a</w:t>
      </w:r>
      <w:r w:rsidR="00ED5B88">
        <w:rPr>
          <w:rFonts w:ascii="Garamond" w:eastAsia="Times New Roman" w:hAnsi="Garamond" w:cs="Times New Roman"/>
          <w:sz w:val="28"/>
          <w:szCs w:val="20"/>
          <w:lang w:val="es-CL" w:eastAsia="es-CL"/>
        </w:rPr>
        <w:t xml:space="preserve"> </w:t>
      </w:r>
      <w:r>
        <w:rPr>
          <w:rFonts w:ascii="Garamond" w:eastAsia="Times New Roman" w:hAnsi="Garamond" w:cs="Times New Roman"/>
          <w:sz w:val="28"/>
          <w:szCs w:val="20"/>
          <w:lang w:val="es-CL" w:eastAsia="es-CL"/>
        </w:rPr>
        <w:t>l</w:t>
      </w:r>
      <w:r w:rsidR="00ED5B88">
        <w:rPr>
          <w:rFonts w:ascii="Garamond" w:eastAsia="Times New Roman" w:hAnsi="Garamond" w:cs="Times New Roman"/>
          <w:sz w:val="28"/>
          <w:szCs w:val="20"/>
          <w:lang w:val="es-CL" w:eastAsia="es-CL"/>
        </w:rPr>
        <w:t>a ley n° 18.918 Orgánica Constitucional del Congreso Nacional</w:t>
      </w:r>
      <w:r>
        <w:rPr>
          <w:rFonts w:ascii="Garamond" w:eastAsia="Times New Roman" w:hAnsi="Garamond" w:cs="Times New Roman"/>
          <w:sz w:val="28"/>
          <w:szCs w:val="20"/>
          <w:lang w:val="es-CL" w:eastAsia="es-CL"/>
        </w:rPr>
        <w:t>:</w:t>
      </w:r>
    </w:p>
    <w:p w:rsidR="00C30DBA" w:rsidRPr="00C30DBA" w:rsidRDefault="00C30DBA" w:rsidP="00C30DBA">
      <w:pPr>
        <w:spacing w:after="0" w:line="360" w:lineRule="auto"/>
        <w:rPr>
          <w:rFonts w:ascii="Garamond" w:eastAsia="Calibri" w:hAnsi="Garamond" w:cs="Arial"/>
          <w:sz w:val="28"/>
          <w:szCs w:val="28"/>
          <w:lang w:val="es-CL" w:eastAsia="es-CL"/>
        </w:rPr>
      </w:pPr>
    </w:p>
    <w:p w:rsidR="00C30DBA" w:rsidRPr="00C30DBA" w:rsidRDefault="004F24C9" w:rsidP="00C30DBA">
      <w:pPr>
        <w:tabs>
          <w:tab w:val="num" w:pos="180"/>
        </w:tabs>
        <w:spacing w:after="0" w:line="360" w:lineRule="auto"/>
        <w:jc w:val="both"/>
        <w:rPr>
          <w:rFonts w:ascii="Garamond" w:eastAsia="Calibri" w:hAnsi="Garamond" w:cs="Arial"/>
          <w:sz w:val="28"/>
          <w:szCs w:val="28"/>
          <w:lang w:val="es-CL" w:eastAsia="es-CL"/>
        </w:rPr>
      </w:pPr>
      <w:r>
        <w:rPr>
          <w:rFonts w:ascii="Garamond" w:eastAsia="Calibri" w:hAnsi="Garamond" w:cs="Arial"/>
          <w:sz w:val="28"/>
          <w:szCs w:val="28"/>
          <w:lang w:val="es-CL" w:eastAsia="es-CL"/>
        </w:rPr>
        <w:t xml:space="preserve">     </w:t>
      </w:r>
      <w:r w:rsidR="00C30DBA" w:rsidRPr="00C30DBA">
        <w:rPr>
          <w:rFonts w:ascii="Garamond" w:eastAsia="Calibri" w:hAnsi="Garamond" w:cs="Arial"/>
          <w:sz w:val="28"/>
          <w:szCs w:val="28"/>
          <w:lang w:val="es-CL" w:eastAsia="es-CL"/>
        </w:rPr>
        <w:t>“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>Cada diputado y dip</w:t>
      </w:r>
      <w:r w:rsidR="00817D7F">
        <w:rPr>
          <w:rFonts w:ascii="Garamond" w:eastAsia="Calibri" w:hAnsi="Garamond" w:cs="Arial"/>
          <w:sz w:val="28"/>
          <w:szCs w:val="28"/>
          <w:lang w:val="es-CL" w:eastAsia="es-CL"/>
        </w:rPr>
        <w:t>utada y cada senador y senadora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 xml:space="preserve"> entregará a la Presidencia de la Cámara de Diputados y del Senado,</w:t>
      </w:r>
      <w:r w:rsidR="00C30DBA" w:rsidRPr="00874F9F">
        <w:rPr>
          <w:lang w:val="es-CL"/>
        </w:rPr>
        <w:t xml:space="preserve"> </w:t>
      </w:r>
      <w:r w:rsidR="00C30DBA" w:rsidRPr="00C30DBA">
        <w:rPr>
          <w:rFonts w:ascii="Garamond" w:eastAsia="Calibri" w:hAnsi="Garamond" w:cs="Arial"/>
          <w:sz w:val="28"/>
          <w:szCs w:val="28"/>
          <w:lang w:val="es-CL" w:eastAsia="es-CL"/>
        </w:rPr>
        <w:t>respectivamente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 xml:space="preserve">, un resumen pormenorizado del </w:t>
      </w:r>
      <w:r w:rsidR="00C30DBA" w:rsidRPr="00C30DBA">
        <w:rPr>
          <w:rFonts w:ascii="Garamond" w:eastAsia="Calibri" w:hAnsi="Garamond" w:cs="Arial"/>
          <w:sz w:val="28"/>
          <w:szCs w:val="28"/>
          <w:lang w:val="es-CL" w:eastAsia="es-CL"/>
        </w:rPr>
        <w:t xml:space="preserve">trabajo legislativo realizado 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 xml:space="preserve">durante el año, en el cual deberán mencionarse las actividades más importantes realizadas en el distrito o circunscripción a la que pertenezca, y además, el detalle del trabajo legislativo de sala y comisión que hubiere desempeñado durante el año, y los proyectos de ley, de acuerdo y de resolución, que hubiere presentado en igual período. </w:t>
      </w:r>
    </w:p>
    <w:p w:rsidR="00BD6D5A" w:rsidRDefault="004F24C9" w:rsidP="006C06F6">
      <w:pPr>
        <w:tabs>
          <w:tab w:val="num" w:pos="180"/>
        </w:tabs>
        <w:spacing w:after="0" w:line="360" w:lineRule="auto"/>
        <w:ind w:right="-285"/>
        <w:jc w:val="both"/>
        <w:rPr>
          <w:rFonts w:ascii="Garamond" w:eastAsia="Calibri" w:hAnsi="Garamond" w:cs="Arial"/>
          <w:sz w:val="28"/>
          <w:szCs w:val="28"/>
          <w:lang w:val="es-CL" w:eastAsia="es-CL"/>
        </w:rPr>
      </w:pPr>
      <w:r>
        <w:rPr>
          <w:rFonts w:ascii="Garamond" w:eastAsia="Calibri" w:hAnsi="Garamond" w:cs="Arial"/>
          <w:sz w:val="28"/>
          <w:szCs w:val="28"/>
          <w:lang w:val="es-CL" w:eastAsia="es-CL"/>
        </w:rPr>
        <w:lastRenderedPageBreak/>
        <w:t xml:space="preserve">     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>El parlamentario cumplirá su obligación de rendir cu</w:t>
      </w:r>
      <w:r w:rsidR="00817D7F">
        <w:rPr>
          <w:rFonts w:ascii="Garamond" w:eastAsia="Calibri" w:hAnsi="Garamond" w:cs="Arial"/>
          <w:sz w:val="28"/>
          <w:szCs w:val="28"/>
          <w:lang w:val="es-CL" w:eastAsia="es-CL"/>
        </w:rPr>
        <w:t>entas de su trabajo legislativo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 xml:space="preserve"> entregando</w:t>
      </w:r>
      <w:r w:rsidR="00817D7F">
        <w:rPr>
          <w:rFonts w:ascii="Garamond" w:eastAsia="Calibri" w:hAnsi="Garamond" w:cs="Arial"/>
          <w:sz w:val="28"/>
          <w:szCs w:val="28"/>
          <w:lang w:val="es-CL" w:eastAsia="es-CL"/>
        </w:rPr>
        <w:t xml:space="preserve"> a la Presidencia de la Cámara a la que pertenezca,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 xml:space="preserve"> material o digitalmente</w:t>
      </w:r>
      <w:r w:rsidR="002D4774">
        <w:rPr>
          <w:rFonts w:ascii="Garamond" w:eastAsia="Calibri" w:hAnsi="Garamond" w:cs="Arial"/>
          <w:sz w:val="28"/>
          <w:szCs w:val="28"/>
          <w:lang w:val="es-CL" w:eastAsia="es-CL"/>
        </w:rPr>
        <w:t>,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 xml:space="preserve"> dicha información</w:t>
      </w:r>
      <w:r w:rsidR="00F34175">
        <w:rPr>
          <w:rFonts w:ascii="Garamond" w:eastAsia="Calibri" w:hAnsi="Garamond" w:cs="Arial"/>
          <w:sz w:val="28"/>
          <w:szCs w:val="28"/>
          <w:lang w:val="es-CL" w:eastAsia="es-CL"/>
        </w:rPr>
        <w:t xml:space="preserve"> y por medio de una audiencia pública que deberá efectuar en la capital regional o</w:t>
      </w:r>
      <w:r w:rsidR="005168AA">
        <w:rPr>
          <w:rFonts w:ascii="Garamond" w:eastAsia="Calibri" w:hAnsi="Garamond" w:cs="Arial"/>
          <w:sz w:val="28"/>
          <w:szCs w:val="28"/>
          <w:lang w:val="es-CL" w:eastAsia="es-CL"/>
        </w:rPr>
        <w:t>,</w:t>
      </w:r>
      <w:r w:rsidR="00F34175">
        <w:rPr>
          <w:rFonts w:ascii="Garamond" w:eastAsia="Calibri" w:hAnsi="Garamond" w:cs="Arial"/>
          <w:sz w:val="28"/>
          <w:szCs w:val="28"/>
          <w:lang w:val="es-CL" w:eastAsia="es-CL"/>
        </w:rPr>
        <w:t xml:space="preserve"> en su defecto, en la capital provincial de su distrito</w:t>
      </w:r>
      <w:bookmarkStart w:id="0" w:name="_GoBack"/>
      <w:bookmarkEnd w:id="0"/>
      <w:r w:rsidR="005168AA">
        <w:rPr>
          <w:rFonts w:ascii="Garamond" w:eastAsia="Calibri" w:hAnsi="Garamond" w:cs="Arial"/>
          <w:sz w:val="28"/>
          <w:szCs w:val="28"/>
          <w:lang w:val="es-CL" w:eastAsia="es-CL"/>
        </w:rPr>
        <w:t xml:space="preserve"> según corresponda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>.</w:t>
      </w:r>
      <w:r w:rsidR="00F34175">
        <w:rPr>
          <w:rFonts w:ascii="Garamond" w:eastAsia="Calibri" w:hAnsi="Garamond" w:cs="Arial"/>
          <w:sz w:val="28"/>
          <w:szCs w:val="28"/>
          <w:lang w:val="es-CL" w:eastAsia="es-CL"/>
        </w:rPr>
        <w:t xml:space="preserve"> 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 xml:space="preserve">La Corporación </w:t>
      </w:r>
      <w:r w:rsidR="00817D7F">
        <w:rPr>
          <w:rFonts w:ascii="Garamond" w:eastAsia="Calibri" w:hAnsi="Garamond" w:cs="Arial"/>
          <w:sz w:val="28"/>
          <w:szCs w:val="28"/>
          <w:lang w:val="es-CL" w:eastAsia="es-CL"/>
        </w:rPr>
        <w:t>respectiva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>, en tanto, deberá</w:t>
      </w:r>
      <w:r w:rsidR="009A5F62">
        <w:rPr>
          <w:rFonts w:ascii="Garamond" w:eastAsia="Calibri" w:hAnsi="Garamond" w:cs="Arial"/>
          <w:sz w:val="28"/>
          <w:szCs w:val="28"/>
          <w:lang w:val="es-CL" w:eastAsia="es-CL"/>
        </w:rPr>
        <w:t xml:space="preserve"> publicar aquella 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>información</w:t>
      </w:r>
      <w:r w:rsidR="00817D7F">
        <w:rPr>
          <w:rFonts w:ascii="Garamond" w:eastAsia="Calibri" w:hAnsi="Garamond" w:cs="Arial"/>
          <w:sz w:val="28"/>
          <w:szCs w:val="28"/>
          <w:lang w:val="es-CL" w:eastAsia="es-CL"/>
        </w:rPr>
        <w:t xml:space="preserve"> anualmente en su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 xml:space="preserve"> página web en el mes de junio de cada año.</w:t>
      </w:r>
    </w:p>
    <w:p w:rsidR="00C30DBA" w:rsidRPr="00C30DBA" w:rsidRDefault="00BD6D5A" w:rsidP="006C06F6">
      <w:pPr>
        <w:tabs>
          <w:tab w:val="num" w:pos="180"/>
        </w:tabs>
        <w:spacing w:after="0" w:line="360" w:lineRule="auto"/>
        <w:ind w:right="-427"/>
        <w:jc w:val="both"/>
        <w:rPr>
          <w:rFonts w:ascii="Garamond" w:eastAsia="Calibri" w:hAnsi="Garamond" w:cs="Arial"/>
          <w:sz w:val="28"/>
          <w:szCs w:val="28"/>
          <w:lang w:val="es-CL" w:eastAsia="es-CL"/>
        </w:rPr>
      </w:pPr>
      <w:r>
        <w:rPr>
          <w:rFonts w:ascii="Garamond" w:eastAsia="Calibri" w:hAnsi="Garamond" w:cs="Arial"/>
          <w:sz w:val="28"/>
          <w:szCs w:val="28"/>
          <w:lang w:val="es-CL" w:eastAsia="es-CL"/>
        </w:rPr>
        <w:t xml:space="preserve">     Todo otro asunto derivado de la implementación, desarrollo, ejecución y cumplimiento de la obligación señalada en este artículo, será materia del reglamento de las Corporaciones</w:t>
      </w:r>
      <w:r w:rsidR="00817D7F">
        <w:rPr>
          <w:rFonts w:ascii="Garamond" w:eastAsia="Calibri" w:hAnsi="Garamond" w:cs="Arial"/>
          <w:sz w:val="28"/>
          <w:szCs w:val="28"/>
          <w:lang w:val="es-CL" w:eastAsia="es-CL"/>
        </w:rPr>
        <w:t>.</w:t>
      </w:r>
      <w:r w:rsidR="00C30DBA">
        <w:rPr>
          <w:rFonts w:ascii="Garamond" w:eastAsia="Calibri" w:hAnsi="Garamond" w:cs="Arial"/>
          <w:sz w:val="28"/>
          <w:szCs w:val="28"/>
          <w:lang w:val="es-CL" w:eastAsia="es-CL"/>
        </w:rPr>
        <w:t>”</w:t>
      </w:r>
    </w:p>
    <w:p w:rsidR="00C30DBA" w:rsidRPr="00C30DBA" w:rsidRDefault="00C30DBA" w:rsidP="00C30DBA">
      <w:pPr>
        <w:spacing w:after="0" w:line="360" w:lineRule="auto"/>
        <w:rPr>
          <w:rFonts w:ascii="Garamond" w:eastAsia="Calibri" w:hAnsi="Garamond" w:cs="Arial"/>
          <w:sz w:val="28"/>
          <w:szCs w:val="28"/>
          <w:lang w:val="es-CL" w:eastAsia="es-CL"/>
        </w:rPr>
      </w:pPr>
    </w:p>
    <w:p w:rsidR="008A4B2F" w:rsidRDefault="008A4B2F" w:rsidP="00C30DBA">
      <w:pPr>
        <w:spacing w:line="360" w:lineRule="auto"/>
        <w:rPr>
          <w:rFonts w:ascii="Garamond" w:eastAsia="Calibri" w:hAnsi="Garamond" w:cs="Times New Roman"/>
          <w:b/>
          <w:sz w:val="28"/>
          <w:szCs w:val="28"/>
          <w:lang w:val="es-CL"/>
        </w:rPr>
      </w:pPr>
    </w:p>
    <w:p w:rsidR="004F24C9" w:rsidRDefault="004F24C9" w:rsidP="00C30DBA">
      <w:pPr>
        <w:spacing w:line="360" w:lineRule="auto"/>
        <w:rPr>
          <w:rFonts w:ascii="Garamond" w:eastAsia="Calibri" w:hAnsi="Garamond" w:cs="Times New Roman"/>
          <w:b/>
          <w:sz w:val="28"/>
          <w:szCs w:val="28"/>
          <w:lang w:val="es-CL"/>
        </w:rPr>
      </w:pPr>
    </w:p>
    <w:p w:rsidR="004F24C9" w:rsidRDefault="004F24C9" w:rsidP="00C30DBA">
      <w:pPr>
        <w:spacing w:line="360" w:lineRule="auto"/>
        <w:rPr>
          <w:rFonts w:ascii="Garamond" w:eastAsia="Calibri" w:hAnsi="Garamond" w:cs="Times New Roman"/>
          <w:b/>
          <w:sz w:val="28"/>
          <w:szCs w:val="28"/>
          <w:lang w:val="es-CL"/>
        </w:rPr>
      </w:pPr>
    </w:p>
    <w:p w:rsidR="00BD6D5A" w:rsidRPr="00C30DBA" w:rsidRDefault="00BD6D5A" w:rsidP="00C30DBA">
      <w:pPr>
        <w:spacing w:line="360" w:lineRule="auto"/>
        <w:rPr>
          <w:rFonts w:ascii="Garamond" w:eastAsia="Calibri" w:hAnsi="Garamond" w:cs="Times New Roman"/>
          <w:b/>
          <w:sz w:val="28"/>
          <w:szCs w:val="28"/>
          <w:lang w:val="es-CL"/>
        </w:rPr>
      </w:pPr>
    </w:p>
    <w:p w:rsidR="008A4B2F" w:rsidRPr="008A7078" w:rsidRDefault="008A4B2F" w:rsidP="008A4B2F">
      <w:pPr>
        <w:spacing w:line="360" w:lineRule="auto"/>
        <w:jc w:val="center"/>
        <w:rPr>
          <w:rFonts w:ascii="Garamond" w:eastAsia="Calibri" w:hAnsi="Garamond" w:cs="Times New Roman"/>
          <w:b/>
          <w:sz w:val="28"/>
          <w:szCs w:val="28"/>
          <w:lang w:val="es-CL"/>
        </w:rPr>
      </w:pPr>
      <w:r w:rsidRPr="008A7078">
        <w:rPr>
          <w:rFonts w:ascii="Garamond" w:eastAsia="Calibri" w:hAnsi="Garamond" w:cs="Times New Roman"/>
          <w:b/>
          <w:sz w:val="28"/>
          <w:szCs w:val="28"/>
          <w:lang w:val="es-CL"/>
        </w:rPr>
        <w:t>____________________________</w:t>
      </w:r>
    </w:p>
    <w:p w:rsidR="008A4B2F" w:rsidRPr="008A7078" w:rsidRDefault="008A4B2F" w:rsidP="008A4B2F">
      <w:pPr>
        <w:spacing w:line="360" w:lineRule="auto"/>
        <w:jc w:val="center"/>
        <w:rPr>
          <w:rFonts w:ascii="Garamond" w:eastAsia="Calibri" w:hAnsi="Garamond" w:cs="Times New Roman"/>
          <w:b/>
          <w:sz w:val="28"/>
          <w:szCs w:val="28"/>
          <w:lang w:val="es-CL"/>
        </w:rPr>
      </w:pPr>
      <w:r w:rsidRPr="008A7078">
        <w:rPr>
          <w:rFonts w:ascii="Garamond" w:eastAsia="Calibri" w:hAnsi="Garamond" w:cs="Times New Roman"/>
          <w:b/>
          <w:sz w:val="28"/>
          <w:szCs w:val="28"/>
          <w:lang w:val="es-CL"/>
        </w:rPr>
        <w:t>JAIME TOHÁ GONZÁLEZ</w:t>
      </w:r>
    </w:p>
    <w:p w:rsidR="008A4B2F" w:rsidRPr="008A7078" w:rsidRDefault="008A4B2F" w:rsidP="008A4B2F">
      <w:pPr>
        <w:spacing w:line="360" w:lineRule="auto"/>
        <w:jc w:val="center"/>
        <w:rPr>
          <w:rFonts w:ascii="Garamond" w:eastAsia="Calibri" w:hAnsi="Garamond" w:cs="Times New Roman"/>
          <w:b/>
          <w:sz w:val="28"/>
          <w:szCs w:val="28"/>
          <w:lang w:val="es-CL"/>
        </w:rPr>
      </w:pPr>
      <w:r w:rsidRPr="008A7078">
        <w:rPr>
          <w:rFonts w:ascii="Garamond" w:eastAsia="Calibri" w:hAnsi="Garamond" w:cs="Times New Roman"/>
          <w:b/>
          <w:sz w:val="28"/>
          <w:szCs w:val="28"/>
          <w:lang w:val="es-CL"/>
        </w:rPr>
        <w:t>DIPUTADO DE LA REPÚBLICA</w:t>
      </w:r>
    </w:p>
    <w:p w:rsidR="00463948" w:rsidRPr="00463948" w:rsidRDefault="00463948" w:rsidP="00463948">
      <w:pPr>
        <w:spacing w:line="360" w:lineRule="auto"/>
        <w:jc w:val="both"/>
        <w:rPr>
          <w:rFonts w:ascii="Garamond" w:eastAsia="Calibri" w:hAnsi="Garamond" w:cs="Times New Roman"/>
          <w:sz w:val="28"/>
          <w:szCs w:val="28"/>
          <w:lang w:val="es-CL"/>
        </w:rPr>
      </w:pPr>
    </w:p>
    <w:p w:rsidR="00F207D2" w:rsidRPr="00F207D2" w:rsidRDefault="00F207D2" w:rsidP="00AE3C90">
      <w:pPr>
        <w:spacing w:line="360" w:lineRule="auto"/>
        <w:jc w:val="both"/>
        <w:rPr>
          <w:rFonts w:ascii="Garamond" w:hAnsi="Garamond"/>
          <w:sz w:val="28"/>
          <w:szCs w:val="28"/>
          <w:lang w:val="es-CL"/>
        </w:rPr>
      </w:pPr>
      <w:r>
        <w:rPr>
          <w:rFonts w:ascii="Garamond" w:hAnsi="Garamond"/>
          <w:sz w:val="28"/>
          <w:szCs w:val="28"/>
          <w:lang w:val="es-CL"/>
        </w:rPr>
        <w:t xml:space="preserve"> </w:t>
      </w:r>
    </w:p>
    <w:sectPr w:rsidR="00F207D2" w:rsidRPr="00F207D2" w:rsidSect="0046394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E3C90"/>
    <w:rsid w:val="00237657"/>
    <w:rsid w:val="0029282E"/>
    <w:rsid w:val="002975A5"/>
    <w:rsid w:val="002D4774"/>
    <w:rsid w:val="00463948"/>
    <w:rsid w:val="004B41FC"/>
    <w:rsid w:val="004F24C9"/>
    <w:rsid w:val="005168AA"/>
    <w:rsid w:val="00671A73"/>
    <w:rsid w:val="006C06F6"/>
    <w:rsid w:val="00703399"/>
    <w:rsid w:val="00817D7F"/>
    <w:rsid w:val="00845A75"/>
    <w:rsid w:val="00874F9F"/>
    <w:rsid w:val="008A4B2F"/>
    <w:rsid w:val="00983316"/>
    <w:rsid w:val="009A5F62"/>
    <w:rsid w:val="009B0BFE"/>
    <w:rsid w:val="00A1287A"/>
    <w:rsid w:val="00AE3C90"/>
    <w:rsid w:val="00BD6D5A"/>
    <w:rsid w:val="00C30DBA"/>
    <w:rsid w:val="00DA7F65"/>
    <w:rsid w:val="00E66333"/>
    <w:rsid w:val="00ED5B88"/>
    <w:rsid w:val="00F16AE5"/>
    <w:rsid w:val="00F207D2"/>
    <w:rsid w:val="00F2524C"/>
    <w:rsid w:val="00F261B0"/>
    <w:rsid w:val="00F30802"/>
    <w:rsid w:val="00F34175"/>
    <w:rsid w:val="00F837C9"/>
    <w:rsid w:val="00FE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1DEE-40C9-4F5B-8DDB-B42B88A73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Guillermo Diaz Vallejos</cp:lastModifiedBy>
  <cp:revision>24</cp:revision>
  <dcterms:created xsi:type="dcterms:W3CDTF">2019-05-28T23:54:00Z</dcterms:created>
  <dcterms:modified xsi:type="dcterms:W3CDTF">2019-06-13T15:03:00Z</dcterms:modified>
</cp:coreProperties>
</file>