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0A" w:rsidRDefault="008B6D55" w:rsidP="005B74AE">
      <w:pPr>
        <w:pStyle w:val="normal0"/>
        <w:ind w:right="-469"/>
        <w:jc w:val="both"/>
        <w:rPr>
          <w:rFonts w:ascii="Courier New" w:eastAsia="Courier New" w:hAnsi="Courier New" w:cs="Courier New"/>
          <w:b/>
        </w:rPr>
      </w:pPr>
      <w:r w:rsidRPr="008B6D55">
        <w:rPr>
          <w:rFonts w:ascii="Courier New" w:eastAsia="Courier New" w:hAnsi="Courier New" w:cs="Courier New"/>
          <w:b/>
        </w:rPr>
        <w:t>Dicta normas sobre explotación, recuperación y abandono de pozos lastreros para la extracción de áridos, y modifica la ley General de Urbanismo y Construcciones en la materia</w:t>
      </w:r>
    </w:p>
    <w:p w:rsidR="008B6D55" w:rsidRDefault="008B6D55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</w:p>
    <w:p w:rsidR="008B6D55" w:rsidRDefault="008B6D55" w:rsidP="008B6D55">
      <w:pPr>
        <w:pStyle w:val="normal0"/>
        <w:ind w:right="-469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Boletín N° 12754-14</w:t>
      </w:r>
    </w:p>
    <w:p w:rsidR="008B6D55" w:rsidRDefault="008B6D55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Vistos.-</w:t>
      </w: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Según disponen los artículo 1°, 19° numeral 1, 16 y 24; lo dispuesto en el artículo 63 de la Constitución Política de la República y el Decreto con Fuerza de Ley n° 458 de 1975 de la Ley General de Urbanismo y Construcción.-</w:t>
      </w: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Considerando.- </w:t>
      </w: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Desde un punt</w:t>
      </w:r>
      <w:r>
        <w:rPr>
          <w:rFonts w:ascii="Courier New" w:eastAsia="Courier New" w:hAnsi="Courier New" w:cs="Courier New"/>
        </w:rPr>
        <w:t>o de vista general, podemos observar que la libertad</w:t>
      </w:r>
      <w:r w:rsidR="008B6D55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de trabajo y el derecho de propiedad son dos derechos fundamentales consagrados en nuestra Carta Fundamental. Por un lado se garantiza el derecho a la libertad del trabajo, es decir, el derecho que tiene</w:t>
      </w:r>
      <w:r>
        <w:rPr>
          <w:rFonts w:ascii="Courier New" w:eastAsia="Courier New" w:hAnsi="Courier New" w:cs="Courier New"/>
        </w:rPr>
        <w:t xml:space="preserve">n </w:t>
      </w:r>
      <w:r w:rsidR="008B6D55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los habitantes de la República a desempeñarse en cualquier actividad lícita que tenga por finalidad el desarrollo personal y económico. </w:t>
      </w:r>
      <w:r w:rsidR="008B6D55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Del mismo modo, el derecho de propiedad se encuentra consagrado en la Constitución Política de la República y solament</w:t>
      </w:r>
      <w:r>
        <w:rPr>
          <w:rFonts w:ascii="Courier New" w:eastAsia="Courier New" w:hAnsi="Courier New" w:cs="Courier New"/>
        </w:rPr>
        <w:t xml:space="preserve">e puede ser limitado por el interés general de la Nación, la seguridad nacional, la utilidad, la salubridad y la conservación del medio ambiente. Junto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con estos dos derechos, también encontramos al derecho a vivir en un medioambiente libre de contaminació</w:t>
      </w:r>
      <w:r>
        <w:rPr>
          <w:rFonts w:ascii="Courier New" w:eastAsia="Courier New" w:hAnsi="Courier New" w:cs="Courier New"/>
        </w:rPr>
        <w:t xml:space="preserve">n, que se configura como un bien jurídico independiente que colisiona, en ciertos casos, con los antes mencionados. Estos principios deben ser ponderados a fin de encontrar un justo equilibrio entre los derechos y obligaciones de los privados, así como el </w:t>
      </w:r>
      <w:r>
        <w:rPr>
          <w:rFonts w:ascii="Courier New" w:eastAsia="Courier New" w:hAnsi="Courier New" w:cs="Courier New"/>
        </w:rPr>
        <w:t xml:space="preserve">interés general y el cuidado del medioambiente. En ese contexto, el ejercicio de la libertad de trabajo y del derecho de propiedad debe ir de la mano con el cuidado del medioambiente y la preservación de la naturaleza. De este modo, para que una actividad </w:t>
      </w:r>
      <w:r>
        <w:rPr>
          <w:rFonts w:ascii="Courier New" w:eastAsia="Courier New" w:hAnsi="Courier New" w:cs="Courier New"/>
        </w:rPr>
        <w:t xml:space="preserve">económica pueda ser sustentable en el tiempo se necesita de un equilibrio entre los aspectos sociales, económicos y medio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ambientales.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concreto, en múltiples ciudades del país se desarrolla la explotación de los denominado </w:t>
      </w:r>
      <w:r>
        <w:rPr>
          <w:rFonts w:ascii="Courier New" w:eastAsia="Courier New" w:hAnsi="Courier New" w:cs="Courier New"/>
          <w:b/>
          <w:i/>
        </w:rPr>
        <w:t>pozos lastreros</w:t>
      </w:r>
      <w:r>
        <w:rPr>
          <w:rFonts w:ascii="Courier New" w:eastAsia="Courier New" w:hAnsi="Courier New" w:cs="Courier New"/>
        </w:rPr>
        <w:t>, que son aqu</w:t>
      </w:r>
      <w:r>
        <w:rPr>
          <w:rFonts w:ascii="Courier New" w:eastAsia="Courier New" w:hAnsi="Courier New" w:cs="Courier New"/>
        </w:rPr>
        <w:t xml:space="preserve">ellos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lugares de extracción de áridos como arena, ripio, piedras y bolones, así como otros materiales naturales. Esto se lleva a cabo tanto en terrenos públicos como en espacios privados. A este respecto cabe señalar que la extracción de áridos es una de l</w:t>
      </w:r>
      <w:r>
        <w:rPr>
          <w:rFonts w:ascii="Courier New" w:eastAsia="Courier New" w:hAnsi="Courier New" w:cs="Courier New"/>
        </w:rPr>
        <w:t xml:space="preserve">as actividades económicas que más han proliferado en los ríos de la zona central. </w:t>
      </w:r>
      <w:r w:rsidR="008B6D55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Sin embargo, no se agotan solo al espacio fluvial, sino que también</w:t>
      </w:r>
      <w:r w:rsidR="008B6D55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se utilizan en contextos mineros. Asimismo, han ido apareciendo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también en zonas urbanas ricas en piedras </w:t>
      </w:r>
      <w:r>
        <w:rPr>
          <w:rFonts w:ascii="Courier New" w:eastAsia="Courier New" w:hAnsi="Courier New" w:cs="Courier New"/>
        </w:rPr>
        <w:t xml:space="preserve">y arenas. </w:t>
      </w: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Pese a esta realidad, en la actualidad no existe un cuerpo con </w:t>
      </w:r>
      <w:r w:rsidR="008B6D55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rango legal que regule la actividad extractiva de los pozos. La falta de normas hace que esta actividad se desarrolle de forma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desorganizada, lo que genera múltiples formas de conta</w:t>
      </w:r>
      <w:r>
        <w:rPr>
          <w:rFonts w:ascii="Courier New" w:eastAsia="Courier New" w:hAnsi="Courier New" w:cs="Courier New"/>
        </w:rPr>
        <w:t xml:space="preserve">minación y se deteriora el medioambiente donde se extraen los áridos. Se ven afectados los cursos naturales de los ríos, la flora y fauna de ese ecosistema, así como los ciclos de polinización y apareamiento de especies aledañas. </w:t>
      </w: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 vacío legal es tan ev</w:t>
      </w:r>
      <w:r>
        <w:rPr>
          <w:rFonts w:ascii="Courier New" w:eastAsia="Courier New" w:hAnsi="Courier New" w:cs="Courier New"/>
        </w:rPr>
        <w:t xml:space="preserve">idente que, hasta hoy, la legislación </w:t>
      </w:r>
      <w:r w:rsidR="008B6D55"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>chilena no ha definido qué se entiende por áridos. Siguiendo a la Biblioteca del Congreso Nacional, podemos decir que se trata de “materiales pétreos, esto es, que tienen la calidad de piedra, diferenciándose entre ell</w:t>
      </w:r>
      <w:r>
        <w:rPr>
          <w:rFonts w:ascii="Courier New" w:eastAsia="Courier New" w:hAnsi="Courier New" w:cs="Courier New"/>
        </w:rPr>
        <w:t xml:space="preserve">os únicamente por su calibre y aptitud para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la construcción”. En el mismo sentido, el Código de Minería hace alusión a este tema en el artículo 13 al señalar que “no se consideran sustancias minerales y, por tanto, no se rigen por el presente Código, las a</w:t>
      </w:r>
      <w:r>
        <w:rPr>
          <w:rFonts w:ascii="Courier New" w:eastAsia="Courier New" w:hAnsi="Courier New" w:cs="Courier New"/>
        </w:rPr>
        <w:t xml:space="preserve">rcillas superficiales y las arenas, rocas y demás materiales aplicables directamente a la construcción”.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este sentido, carecemos de reglas claras a nivel legal sobre </w:t>
      </w:r>
      <w:proofErr w:type="gramStart"/>
      <w:r>
        <w:rPr>
          <w:rFonts w:ascii="Courier New" w:eastAsia="Courier New" w:hAnsi="Courier New" w:cs="Courier New"/>
        </w:rPr>
        <w:t>explotación ,</w:t>
      </w:r>
      <w:proofErr w:type="gramEnd"/>
      <w:r>
        <w:rPr>
          <w:rFonts w:ascii="Courier New" w:eastAsia="Courier New" w:hAnsi="Courier New" w:cs="Courier New"/>
        </w:rPr>
        <w:t xml:space="preserve"> recuperación y conservación de estos terrenos, con la finalidad de evit</w:t>
      </w:r>
      <w:r>
        <w:rPr>
          <w:rFonts w:ascii="Courier New" w:eastAsia="Courier New" w:hAnsi="Courier New" w:cs="Courier New"/>
        </w:rPr>
        <w:t>ar la explotación y posterior abandono de dicho</w:t>
      </w:r>
      <w:r w:rsidR="008B6D55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lugar. Así, la normativa sobre esta actividad se genera en los municipios a través de decretos y ordenanzas, cuestión que impide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tener una visión nacional ordenada y consensuada sobre la explotación de áridos</w:t>
      </w:r>
      <w:r>
        <w:rPr>
          <w:rFonts w:ascii="Courier New" w:eastAsia="Courier New" w:hAnsi="Courier New" w:cs="Courier New"/>
        </w:rPr>
        <w:t xml:space="preserve"> en pozos lastreros. A este respecto, cabe señalar que este proyecto de ley recoge las propuestas centrales del Boletín 7219-08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que se encuentra sin actividad legislativa, siendo este el único boletín con propuestas sobre los pozos lastreros.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tanto, </w:t>
      </w:r>
      <w:r>
        <w:rPr>
          <w:rFonts w:ascii="Courier New" w:eastAsia="Courier New" w:hAnsi="Courier New" w:cs="Courier New"/>
        </w:rPr>
        <w:t xml:space="preserve">las diputadas y diputados que suscribimos el presente proyecto de ley venimos a proponer:  </w:t>
      </w:r>
    </w:p>
    <w:p w:rsidR="0055520A" w:rsidRDefault="0055520A" w:rsidP="008B6D55">
      <w:pPr>
        <w:pStyle w:val="normal0"/>
        <w:ind w:right="-469" w:firstLine="720"/>
        <w:rPr>
          <w:rFonts w:ascii="Courier New" w:eastAsia="Courier New" w:hAnsi="Courier New" w:cs="Courier New"/>
        </w:rPr>
      </w:pPr>
    </w:p>
    <w:p w:rsidR="0055520A" w:rsidRDefault="0055520A" w:rsidP="008B6D55">
      <w:pPr>
        <w:pStyle w:val="normal0"/>
        <w:ind w:right="-469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Proyecto de Ley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Artículo 1°.-</w:t>
      </w:r>
      <w:r>
        <w:rPr>
          <w:rFonts w:ascii="Courier New" w:eastAsia="Courier New" w:hAnsi="Courier New" w:cs="Courier New"/>
        </w:rPr>
        <w:t xml:space="preserve"> La presente ley tiene por objeto la regulación de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la extracción de áridos a través de pozos lastreros.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 entenderá por “</w:t>
      </w:r>
      <w:r>
        <w:rPr>
          <w:rFonts w:ascii="Courier New" w:eastAsia="Courier New" w:hAnsi="Courier New" w:cs="Courier New"/>
          <w:b/>
        </w:rPr>
        <w:t>Pozos Las</w:t>
      </w:r>
      <w:r>
        <w:rPr>
          <w:rFonts w:ascii="Courier New" w:eastAsia="Courier New" w:hAnsi="Courier New" w:cs="Courier New"/>
          <w:b/>
        </w:rPr>
        <w:t>treros</w:t>
      </w:r>
      <w:r>
        <w:rPr>
          <w:rFonts w:ascii="Courier New" w:eastAsia="Courier New" w:hAnsi="Courier New" w:cs="Courier New"/>
        </w:rPr>
        <w:t xml:space="preserve">” todo depósito de material aluvial que ha sido arrastrado por la acción del agua, conformando valles aluviales.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 entenderá por “</w:t>
      </w:r>
      <w:r>
        <w:rPr>
          <w:rFonts w:ascii="Courier New" w:eastAsia="Courier New" w:hAnsi="Courier New" w:cs="Courier New"/>
          <w:b/>
        </w:rPr>
        <w:t>Áridos”</w:t>
      </w:r>
      <w:r>
        <w:rPr>
          <w:rFonts w:ascii="Courier New" w:eastAsia="Courier New" w:hAnsi="Courier New" w:cs="Courier New"/>
        </w:rPr>
        <w:t xml:space="preserve"> el conjunto de fragmentos de materiales pétreos suficientemente duros, de forma estable e inertes, que se emplean directamente o en la fabricación de materiales de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construcción. Dichos áridos pueden ser naturales que son aquellos que proceden de yacimient</w:t>
      </w:r>
      <w:r>
        <w:rPr>
          <w:rFonts w:ascii="Courier New" w:eastAsia="Courier New" w:hAnsi="Courier New" w:cs="Courier New"/>
        </w:rPr>
        <w:t xml:space="preserve">os o canteras directamente, o manufacturados, </w:t>
      </w:r>
      <w:r>
        <w:rPr>
          <w:rFonts w:ascii="Courier New" w:eastAsia="Courier New" w:hAnsi="Courier New" w:cs="Courier New"/>
        </w:rPr>
        <w:lastRenderedPageBreak/>
        <w:t xml:space="preserve">aquellos que procediendo también de yacimientos o canteras, ha sido sometido a procesos controlados de lavado y/o trituración. Son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ejemplos de áridos la arena, el ripio, la grava, gravilla, piedras y bolones.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entenderá por “Extracción de Áridos”, el movimiento de tierra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 agua que sea necesario para la obtención de áridos.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Artículo 2°.-</w:t>
      </w:r>
      <w:r>
        <w:rPr>
          <w:rFonts w:ascii="Courier New" w:eastAsia="Courier New" w:hAnsi="Courier New" w:cs="Courier New"/>
        </w:rPr>
        <w:t xml:space="preserve"> Antes de comenzar las actividades extractivas, el  pozo </w:t>
      </w:r>
      <w:proofErr w:type="spellStart"/>
      <w:r>
        <w:rPr>
          <w:rFonts w:ascii="Courier New" w:eastAsia="Courier New" w:hAnsi="Courier New" w:cs="Courier New"/>
        </w:rPr>
        <w:t>lastrero</w:t>
      </w:r>
      <w:proofErr w:type="spellEnd"/>
      <w:r>
        <w:rPr>
          <w:rFonts w:ascii="Courier New" w:eastAsia="Courier New" w:hAnsi="Courier New" w:cs="Courier New"/>
        </w:rPr>
        <w:t xml:space="preserve"> deberá obtener la patente que  señala el artículo 23 inc</w:t>
      </w:r>
      <w:r>
        <w:rPr>
          <w:rFonts w:ascii="Courier New" w:eastAsia="Courier New" w:hAnsi="Courier New" w:cs="Courier New"/>
        </w:rPr>
        <w:t xml:space="preserve">iso segundo del Decreto Ley 3.063 de 1979 sobre rentas municipales.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Artículo 3°.-</w:t>
      </w:r>
      <w:r>
        <w:rPr>
          <w:rFonts w:ascii="Courier New" w:eastAsia="Courier New" w:hAnsi="Courier New" w:cs="Courier New"/>
        </w:rPr>
        <w:t xml:space="preserve"> Para obtener la patente señalada en el Decreto ley 3.063 de 1973 sobre rentas municipales, el requirente deberá acompañar al menos los siguientes antecedentes: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a.)</w:t>
      </w:r>
      <w:r>
        <w:rPr>
          <w:rFonts w:ascii="Courier New" w:eastAsia="Courier New" w:hAnsi="Courier New" w:cs="Courier New"/>
        </w:rPr>
        <w:t xml:space="preserve">  Indivi</w:t>
      </w:r>
      <w:r>
        <w:rPr>
          <w:rFonts w:ascii="Courier New" w:eastAsia="Courier New" w:hAnsi="Courier New" w:cs="Courier New"/>
        </w:rPr>
        <w:t>dualización del solicitante.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b.)</w:t>
      </w:r>
      <w:r>
        <w:rPr>
          <w:rFonts w:ascii="Courier New" w:eastAsia="Courier New" w:hAnsi="Courier New" w:cs="Courier New"/>
        </w:rPr>
        <w:t xml:space="preserve"> Demarcación exacta del área física en que se realizará la explotación.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</w:t>
      </w:r>
      <w:proofErr w:type="gramEnd"/>
      <w:r>
        <w:rPr>
          <w:rFonts w:ascii="Courier New" w:eastAsia="Courier New" w:hAnsi="Courier New" w:cs="Courier New"/>
          <w:b/>
        </w:rPr>
        <w:t xml:space="preserve">.) </w:t>
      </w:r>
      <w:r>
        <w:rPr>
          <w:rFonts w:ascii="Courier New" w:eastAsia="Courier New" w:hAnsi="Courier New" w:cs="Courier New"/>
        </w:rPr>
        <w:t xml:space="preserve">Acompañar los planos que señalen la delimitación del área donde se realizará la extracción. 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d.)</w:t>
      </w:r>
      <w:r>
        <w:rPr>
          <w:rFonts w:ascii="Courier New" w:eastAsia="Courier New" w:hAnsi="Courier New" w:cs="Courier New"/>
        </w:rPr>
        <w:t xml:space="preserve"> Señalar  las vías de acceso, necesidad y ubicaci</w:t>
      </w:r>
      <w:r>
        <w:rPr>
          <w:rFonts w:ascii="Courier New" w:eastAsia="Courier New" w:hAnsi="Courier New" w:cs="Courier New"/>
        </w:rPr>
        <w:t>ón de la infraestructura del proyecto, además de equipos e implementos necesarios, fajas de protección entre la obra y sus deslindes, fuentes hídricas y sus vías circundantes, las características vegetales del área y la magnitud y curso de las aguas existe</w:t>
      </w:r>
      <w:r>
        <w:rPr>
          <w:rFonts w:ascii="Courier New" w:eastAsia="Courier New" w:hAnsi="Courier New" w:cs="Courier New"/>
        </w:rPr>
        <w:t>ntes.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e.) </w:t>
      </w:r>
      <w:r>
        <w:rPr>
          <w:rFonts w:ascii="Courier New" w:eastAsia="Courier New" w:hAnsi="Courier New" w:cs="Courier New"/>
        </w:rPr>
        <w:t xml:space="preserve">Título de propiedad o de mera tenencia con vigencia,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concesión o permiso, que posea el solicitante sobre el espacio físico en donde se realizarán las extracciones.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f.)</w:t>
      </w:r>
      <w:r>
        <w:rPr>
          <w:rFonts w:ascii="Courier New" w:eastAsia="Courier New" w:hAnsi="Courier New" w:cs="Courier New"/>
        </w:rPr>
        <w:t xml:space="preserve"> Copia de la resolución de la certificación ambiental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favorable de la Comisió</w:t>
      </w:r>
      <w:r>
        <w:rPr>
          <w:rFonts w:ascii="Courier New" w:eastAsia="Courier New" w:hAnsi="Courier New" w:cs="Courier New"/>
        </w:rPr>
        <w:t>n Regional del Medio ambiente, en el caso de proyectos sometidos al Sistema de Evaluación de Impacto Ambiental.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Artículo 4°.- </w:t>
      </w:r>
      <w:r>
        <w:rPr>
          <w:rFonts w:ascii="Courier New" w:eastAsia="Courier New" w:hAnsi="Courier New" w:cs="Courier New"/>
        </w:rPr>
        <w:t>Respecto de los proyectos que no se encuentran sujetos al Sistema de Evaluación de Impacto Ambiental,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deberán acompañarse los info</w:t>
      </w:r>
      <w:r>
        <w:rPr>
          <w:rFonts w:ascii="Courier New" w:eastAsia="Courier New" w:hAnsi="Courier New" w:cs="Courier New"/>
        </w:rPr>
        <w:t>rmes favorables de las Secretarías Regionales Ministeriales.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Los solicitantes deberán presentar un plan de manejo, que contendrá a lo menos, el plazo de inicio y término de la extracción, estudios que estimen la producción total extraída y </w:t>
      </w:r>
      <w:r w:rsidR="008B6D55">
        <w:rPr>
          <w:rFonts w:ascii="Courier New" w:eastAsia="Courier New" w:hAnsi="Courier New" w:cs="Courier New"/>
        </w:rPr>
        <w:t>el manejo</w:t>
      </w:r>
      <w:r>
        <w:rPr>
          <w:rFonts w:ascii="Courier New" w:eastAsia="Courier New" w:hAnsi="Courier New" w:cs="Courier New"/>
        </w:rPr>
        <w:t xml:space="preserve"> de lo</w:t>
      </w:r>
      <w:r>
        <w:rPr>
          <w:rFonts w:ascii="Courier New" w:eastAsia="Courier New" w:hAnsi="Courier New" w:cs="Courier New"/>
        </w:rPr>
        <w:t xml:space="preserve">s residuos.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Además, deberá presentarse un plan de recuperación del lugar explotado. Este considerará especialmente la restauración de la capa vegetal y la corrección de taludes y nivelación de superficie,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lastRenderedPageBreak/>
        <w:t>debiendo ejecutarse siempre en periodos sucesivos,</w:t>
      </w:r>
      <w:r>
        <w:rPr>
          <w:rFonts w:ascii="Courier New" w:eastAsia="Courier New" w:hAnsi="Courier New" w:cs="Courier New"/>
        </w:rPr>
        <w:t xml:space="preserve"> antes de completar un año </w:t>
      </w:r>
      <w:proofErr w:type="gramStart"/>
      <w:r>
        <w:rPr>
          <w:rFonts w:ascii="Courier New" w:eastAsia="Courier New" w:hAnsi="Courier New" w:cs="Courier New"/>
        </w:rPr>
        <w:t>continuo</w:t>
      </w:r>
      <w:proofErr w:type="gramEnd"/>
      <w:r>
        <w:rPr>
          <w:rFonts w:ascii="Courier New" w:eastAsia="Courier New" w:hAnsi="Courier New" w:cs="Courier New"/>
        </w:rPr>
        <w:t xml:space="preserve"> de explotación.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Dicho incumplimiento dará lugar al cierre del recinto si tales obras no se ejecutan según los antecedentes acompañados.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Artículo 5.-</w:t>
      </w:r>
      <w:r>
        <w:rPr>
          <w:rFonts w:ascii="Courier New" w:eastAsia="Courier New" w:hAnsi="Courier New" w:cs="Courier New"/>
        </w:rPr>
        <w:t xml:space="preserve"> Cada municipalidad regulará la forma en que solicitaran</w:t>
      </w:r>
      <w:r>
        <w:rPr>
          <w:rFonts w:ascii="Courier New" w:eastAsia="Courier New" w:hAnsi="Courier New" w:cs="Courier New"/>
        </w:rPr>
        <w:t xml:space="preserve"> los antecedentes establecidos en los artículos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precedentes, como así también las medidas de seguridad y protección ambiental que deban adoptarse para la explotación y transporte de las sustancias extraídas y la recuperación de los suelos. 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 perjuicio d</w:t>
      </w:r>
      <w:r>
        <w:rPr>
          <w:rFonts w:ascii="Courier New" w:eastAsia="Courier New" w:hAnsi="Courier New" w:cs="Courier New"/>
        </w:rPr>
        <w:t xml:space="preserve">e las solicitudes requeridas por los organismos técnicos competentes en caso que se debe transportar áridos u otras sustancias por vía pública.  </w:t>
      </w:r>
    </w:p>
    <w:p w:rsidR="0055520A" w:rsidRDefault="0055520A" w:rsidP="008B6D55">
      <w:pPr>
        <w:pStyle w:val="normal0"/>
        <w:ind w:right="-469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Artículo 6°.-</w:t>
      </w:r>
      <w:r>
        <w:rPr>
          <w:rFonts w:ascii="Courier New" w:eastAsia="Courier New" w:hAnsi="Courier New" w:cs="Courier New"/>
        </w:rPr>
        <w:t xml:space="preserve"> Agréguese un nuevo inciso segundo al artículo 59 </w:t>
      </w:r>
      <w:r w:rsidR="008B6D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del Decreto con Fuerza de Ley n° 458 de 1975 d</w:t>
      </w:r>
      <w:r>
        <w:rPr>
          <w:rFonts w:ascii="Courier New" w:eastAsia="Courier New" w:hAnsi="Courier New" w:cs="Courier New"/>
        </w:rPr>
        <w:t xml:space="preserve">e, Ley General de Urbanismo y </w:t>
      </w:r>
      <w:r w:rsidR="008B6D55">
        <w:rPr>
          <w:rFonts w:ascii="Courier New" w:eastAsia="Courier New" w:hAnsi="Courier New" w:cs="Courier New"/>
        </w:rPr>
        <w:t>Construcciones</w:t>
      </w:r>
      <w:r>
        <w:rPr>
          <w:rFonts w:ascii="Courier New" w:eastAsia="Courier New" w:hAnsi="Courier New" w:cs="Courier New"/>
        </w:rPr>
        <w:t>, pasando el actual segundo a ser el nuevo inciso tercero y así sucesivamente.</w:t>
      </w: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“Los terrenos ubicados en el área urbana o zona de extensión destinado a pozos lastreros o de extracción de áridos se entenderán declarados parques intercomunales o comunales desde que fueran abandonados por los responsables de su extracción o se hubieren </w:t>
      </w:r>
      <w:r>
        <w:rPr>
          <w:rFonts w:ascii="Courier New" w:eastAsia="Courier New" w:hAnsi="Courier New" w:cs="Courier New"/>
        </w:rPr>
        <w:t xml:space="preserve">incumplido las acciones anuales de recuperación comprometidas”  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Artículo Transitorio.- 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  <w:b/>
        </w:rPr>
      </w:pPr>
    </w:p>
    <w:p w:rsidR="0055520A" w:rsidRDefault="005B74AE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Artículo Primero.- </w:t>
      </w:r>
      <w:r>
        <w:rPr>
          <w:rFonts w:ascii="Courier New" w:eastAsia="Courier New" w:hAnsi="Courier New" w:cs="Courier New"/>
        </w:rPr>
        <w:t>Las Municipalidades tendrán un periodo de 6 meses desde la publicación de la ley para dictar la normativa relacionada  con los antecedentes señala</w:t>
      </w:r>
      <w:r>
        <w:rPr>
          <w:rFonts w:ascii="Courier New" w:eastAsia="Courier New" w:hAnsi="Courier New" w:cs="Courier New"/>
        </w:rPr>
        <w:t>dos.</w:t>
      </w: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  <w:b/>
        </w:rPr>
      </w:pP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5520A" w:rsidP="008B6D55">
      <w:pPr>
        <w:pStyle w:val="normal0"/>
        <w:ind w:right="-469" w:firstLine="720"/>
        <w:jc w:val="both"/>
        <w:rPr>
          <w:rFonts w:ascii="Courier New" w:eastAsia="Courier New" w:hAnsi="Courier New" w:cs="Courier New"/>
        </w:rPr>
      </w:pPr>
    </w:p>
    <w:p w:rsidR="0055520A" w:rsidRDefault="005B74AE" w:rsidP="008B6D55">
      <w:pPr>
        <w:pStyle w:val="normal0"/>
        <w:ind w:right="-469"/>
        <w:jc w:val="center"/>
        <w:rPr>
          <w:b/>
        </w:rPr>
      </w:pPr>
      <w:r>
        <w:rPr>
          <w:b/>
        </w:rPr>
        <w:t>RENATO GARIN GONZALEZ</w:t>
      </w:r>
    </w:p>
    <w:p w:rsidR="0055520A" w:rsidRDefault="005B74AE" w:rsidP="008B6D55">
      <w:pPr>
        <w:pStyle w:val="normal0"/>
        <w:ind w:right="-469"/>
        <w:jc w:val="center"/>
        <w:rPr>
          <w:rFonts w:ascii="Courier New" w:eastAsia="Courier New" w:hAnsi="Courier New" w:cs="Courier New"/>
        </w:rPr>
      </w:pPr>
      <w:r>
        <w:rPr>
          <w:b/>
        </w:rPr>
        <w:t>H.D DE LA REPÚBLICA</w:t>
      </w:r>
    </w:p>
    <w:sectPr w:rsidR="0055520A" w:rsidSect="00555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55520A"/>
    <w:rsid w:val="0055520A"/>
    <w:rsid w:val="005B74AE"/>
    <w:rsid w:val="008B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552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552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552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552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5520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552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5520A"/>
  </w:style>
  <w:style w:type="table" w:customStyle="1" w:styleId="TableNormal">
    <w:name w:val="Table Normal"/>
    <w:rsid w:val="005552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5520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5520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1345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Diaz Vallejos</cp:lastModifiedBy>
  <cp:revision>3</cp:revision>
  <dcterms:created xsi:type="dcterms:W3CDTF">2019-07-09T16:06:00Z</dcterms:created>
  <dcterms:modified xsi:type="dcterms:W3CDTF">2019-07-09T16:12:00Z</dcterms:modified>
</cp:coreProperties>
</file>