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6AC" w:rsidRDefault="002906D3" w:rsidP="005D2CDC">
      <w:pPr>
        <w:pStyle w:val="western"/>
        <w:spacing w:before="280" w:after="0" w:line="240" w:lineRule="auto"/>
        <w:ind w:right="-257"/>
      </w:pPr>
      <w:r>
        <w:rPr>
          <w:b/>
          <w:bCs/>
          <w:noProof/>
        </w:rPr>
        <w:drawing>
          <wp:inline distT="0" distB="0" distL="0" distR="0">
            <wp:extent cx="1019175" cy="100965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cstate="print"/>
                    <a:srcRect l="-176" t="-178" r="-176" b="-178"/>
                    <a:stretch>
                      <a:fillRect/>
                    </a:stretch>
                  </pic:blipFill>
                  <pic:spPr bwMode="auto">
                    <a:xfrm>
                      <a:off x="0" y="0"/>
                      <a:ext cx="1019175" cy="1009650"/>
                    </a:xfrm>
                    <a:prstGeom prst="rect">
                      <a:avLst/>
                    </a:prstGeom>
                  </pic:spPr>
                </pic:pic>
              </a:graphicData>
            </a:graphic>
          </wp:inline>
        </w:drawing>
      </w:r>
    </w:p>
    <w:p w:rsidR="005D2CDC" w:rsidRDefault="005D2CDC" w:rsidP="005D2CDC">
      <w:pPr>
        <w:pStyle w:val="western"/>
        <w:spacing w:before="100" w:after="0" w:line="320" w:lineRule="exact"/>
        <w:ind w:right="-255"/>
        <w:jc w:val="both"/>
        <w:rPr>
          <w:rFonts w:ascii="Times New Roman" w:hAnsi="Times New Roman"/>
          <w:b/>
          <w:bCs/>
          <w:lang w:val="es-CL"/>
        </w:rPr>
      </w:pPr>
    </w:p>
    <w:p w:rsidR="005D2CDC" w:rsidRDefault="005D2CDC" w:rsidP="005D2CDC">
      <w:pPr>
        <w:pStyle w:val="western"/>
        <w:spacing w:before="100" w:after="0" w:line="320" w:lineRule="exact"/>
        <w:ind w:right="-255"/>
        <w:jc w:val="both"/>
        <w:rPr>
          <w:rFonts w:ascii="Times New Roman" w:hAnsi="Times New Roman"/>
          <w:b/>
          <w:bCs/>
          <w:lang w:val="es-CL"/>
        </w:rPr>
      </w:pPr>
      <w:r w:rsidRPr="005D2CDC">
        <w:rPr>
          <w:rFonts w:ascii="Times New Roman" w:hAnsi="Times New Roman"/>
          <w:b/>
          <w:bCs/>
          <w:lang w:val="es-CL"/>
        </w:rPr>
        <w:t>Modifica la ley N°19.968, que crea los Tribunales de Familia, y la ley N°20.066, sobre Violencia Intrafamiliar, para autorizar el monitoreo telemático de medidas cautelares y accesorias decretadas en procedimientos civiles y penales por violencia intrafamiliar</w:t>
      </w:r>
    </w:p>
    <w:p w:rsidR="005D2CDC" w:rsidRDefault="005D2CDC" w:rsidP="005D2CDC">
      <w:pPr>
        <w:pStyle w:val="western"/>
        <w:spacing w:before="100" w:after="0" w:line="320" w:lineRule="exact"/>
        <w:ind w:right="-255"/>
        <w:jc w:val="center"/>
        <w:rPr>
          <w:rFonts w:ascii="Times New Roman" w:hAnsi="Times New Roman"/>
          <w:b/>
          <w:bCs/>
          <w:lang w:val="es-CL"/>
        </w:rPr>
      </w:pPr>
      <w:r>
        <w:rPr>
          <w:rFonts w:ascii="Times New Roman" w:hAnsi="Times New Roman"/>
          <w:b/>
          <w:bCs/>
          <w:lang w:val="es-CL"/>
        </w:rPr>
        <w:t>Boletín N° 12968-18</w:t>
      </w:r>
    </w:p>
    <w:p w:rsidR="005D2CDC" w:rsidRDefault="005D2CDC" w:rsidP="005D2CDC">
      <w:pPr>
        <w:pStyle w:val="western"/>
        <w:spacing w:before="100" w:after="0" w:line="320" w:lineRule="exact"/>
        <w:ind w:right="-255"/>
        <w:jc w:val="center"/>
        <w:rPr>
          <w:rFonts w:ascii="Times New Roman" w:hAnsi="Times New Roman"/>
          <w:b/>
          <w:bCs/>
          <w:lang w:val="es-CL"/>
        </w:rPr>
      </w:pPr>
    </w:p>
    <w:p w:rsidR="008056AC" w:rsidRDefault="002906D3" w:rsidP="005D2CDC">
      <w:pPr>
        <w:pStyle w:val="western"/>
        <w:spacing w:before="280" w:after="0" w:line="240" w:lineRule="auto"/>
        <w:ind w:right="-257"/>
        <w:rPr>
          <w:lang w:val="es-CL"/>
        </w:rPr>
      </w:pPr>
      <w:r>
        <w:rPr>
          <w:rFonts w:ascii="Times New Roman" w:hAnsi="Times New Roman"/>
          <w:b/>
          <w:bCs/>
          <w:lang w:val="es-CL"/>
        </w:rPr>
        <w:t>I. IDEAS GENERALES.</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ab/>
        <w:t xml:space="preserve">La violencia contra la mujer es una de las grandes preocupaciones del Chile </w:t>
      </w:r>
      <w:r>
        <w:rPr>
          <w:rFonts w:ascii="Times New Roman" w:hAnsi="Times New Roman"/>
          <w:lang w:val="es-CL"/>
        </w:rPr>
        <w:t>actual. En efecto, el llamado que han hecho las mujeres de nuestro país en orden a obtener una mayor protección y promoción de sus derechos, ha movilizado a los sectores políticos en la línea avanzar en políticas y programas que busquen erradicar la violen</w:t>
      </w:r>
      <w:r>
        <w:rPr>
          <w:rFonts w:ascii="Times New Roman" w:hAnsi="Times New Roman"/>
          <w:lang w:val="es-CL"/>
        </w:rPr>
        <w:t>cia y permitan garantizar el derecho de toda mujer de vivir una vida libre de maltrato físico y psicológico.</w:t>
      </w:r>
    </w:p>
    <w:p w:rsidR="008056AC" w:rsidRDefault="002906D3" w:rsidP="005D2CDC">
      <w:pPr>
        <w:pStyle w:val="western"/>
        <w:spacing w:before="280" w:after="0" w:line="480" w:lineRule="auto"/>
        <w:ind w:right="-257"/>
        <w:jc w:val="both"/>
      </w:pPr>
      <w:r>
        <w:rPr>
          <w:rFonts w:ascii="Times New Roman" w:hAnsi="Times New Roman"/>
          <w:lang w:val="es-CL"/>
        </w:rPr>
        <w:tab/>
        <w:t>Si bien, los esfuerzos en la materia han sido importantes y se ha logrado una leve disminución en lo que refiere a violencia física ejercida contr</w:t>
      </w:r>
      <w:r>
        <w:rPr>
          <w:rFonts w:ascii="Times New Roman" w:hAnsi="Times New Roman"/>
          <w:lang w:val="es-CL"/>
        </w:rPr>
        <w:t>a la mujer, pasando de un 5,8% a un 4,3% durante el período 2012 – 2017; como contrapartida se ha observado un aumento en la violencia psicológica, pasando de un 16,8% a un 20,2% en el mismo período</w:t>
      </w:r>
      <w:bookmarkStart w:id="0" w:name="sdfootnote1anc"/>
      <w:r>
        <w:rPr>
          <w:rStyle w:val="Ancladenotaalpie"/>
          <w:rFonts w:ascii="Times New Roman" w:hAnsi="Times New Roman"/>
          <w:lang w:val="es-CL"/>
        </w:rPr>
        <w:footnoteReference w:id="1"/>
      </w:r>
      <w:bookmarkEnd w:id="0"/>
      <w:r>
        <w:rPr>
          <w:rFonts w:ascii="Times New Roman" w:hAnsi="Times New Roman"/>
          <w:lang w:val="es-CL"/>
        </w:rPr>
        <w:t>. Por su parte, entre las mujeres víctimas de violencia f</w:t>
      </w:r>
      <w:r>
        <w:rPr>
          <w:rFonts w:ascii="Times New Roman" w:hAnsi="Times New Roman"/>
          <w:lang w:val="es-CL"/>
        </w:rPr>
        <w:t xml:space="preserve">ísica, </w:t>
      </w:r>
      <w:r>
        <w:rPr>
          <w:rFonts w:ascii="Times New Roman" w:hAnsi="Times New Roman"/>
          <w:lang w:val="es-CL"/>
        </w:rPr>
        <w:lastRenderedPageBreak/>
        <w:t>sexual y psicológica, existe una preponderancia de mujeres con bajo nivel de redes de apoyo y una alta dependencia económica.</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ab/>
        <w:t>Lo anterior, por cierto es preocupante, y pone de manifiesto que la violencia contra la mujer debe seguir siendo una prior</w:t>
      </w:r>
      <w:r>
        <w:rPr>
          <w:rFonts w:ascii="Times New Roman" w:hAnsi="Times New Roman"/>
          <w:lang w:val="es-CL"/>
        </w:rPr>
        <w:t>idad en la agenda nacional, cuyo enfoque debe ser multidisciplinario, que permita entregar a las mujeres no sólo seguridad y protección, sino también herramientas que lleven a generar y potenciar diversas cualidades en las mujeres. Así las cosas, se vuelve</w:t>
      </w:r>
      <w:r>
        <w:rPr>
          <w:rFonts w:ascii="Times New Roman" w:hAnsi="Times New Roman"/>
          <w:lang w:val="es-CL"/>
        </w:rPr>
        <w:t xml:space="preserve"> imperante la necesidad de revisar las políticas, planes y programas que se ejecutan actualmente, como la regulación legal vigente en esta materia y los instrumentos con que cuenta el ordenamiento jurídico.</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ab/>
        <w:t>En este proyecto de ley en particular se pretend</w:t>
      </w:r>
      <w:r>
        <w:rPr>
          <w:rFonts w:ascii="Times New Roman" w:hAnsi="Times New Roman"/>
          <w:lang w:val="es-CL"/>
        </w:rPr>
        <w:t>e revisar la potestad cautelar en del juez de familia, con el objeto de ampliar la misma para incorporar el uso de tobilleras electrónicas y el monitoreo telemático de las mismas como medida cautelar en favor de las víctimas de violencia intrafamiliar.</w:t>
      </w:r>
    </w:p>
    <w:p w:rsidR="008056AC" w:rsidRDefault="002906D3" w:rsidP="005D2CDC">
      <w:pPr>
        <w:pStyle w:val="western"/>
        <w:spacing w:before="280" w:after="0" w:line="480" w:lineRule="auto"/>
        <w:ind w:right="-257"/>
        <w:jc w:val="both"/>
        <w:rPr>
          <w:lang w:val="es-CL"/>
        </w:rPr>
      </w:pPr>
      <w:r>
        <w:rPr>
          <w:rFonts w:ascii="Times New Roman" w:hAnsi="Times New Roman"/>
          <w:b/>
          <w:bCs/>
          <w:lang w:val="es-CL"/>
        </w:rPr>
        <w:t>II.</w:t>
      </w:r>
      <w:r>
        <w:rPr>
          <w:rFonts w:ascii="Times New Roman" w:hAnsi="Times New Roman"/>
          <w:b/>
          <w:bCs/>
          <w:lang w:val="es-CL"/>
        </w:rPr>
        <w:t xml:space="preserve"> CONSIDERANDO:</w:t>
      </w:r>
    </w:p>
    <w:p w:rsidR="008056AC" w:rsidRDefault="002906D3" w:rsidP="005D2CDC">
      <w:pPr>
        <w:pStyle w:val="western"/>
        <w:numPr>
          <w:ilvl w:val="0"/>
          <w:numId w:val="1"/>
        </w:numPr>
        <w:spacing w:before="280" w:after="0" w:line="480" w:lineRule="auto"/>
        <w:ind w:right="-257"/>
        <w:jc w:val="both"/>
      </w:pPr>
      <w:r>
        <w:rPr>
          <w:rFonts w:ascii="Times New Roman" w:hAnsi="Times New Roman"/>
          <w:lang w:val="es-CL"/>
        </w:rPr>
        <w:t>Que, en Chile, el 38%</w:t>
      </w:r>
      <w:bookmarkStart w:id="4" w:name="sdfootnote2anc"/>
      <w:r>
        <w:rPr>
          <w:rStyle w:val="Ancladenotaalpie"/>
          <w:rFonts w:ascii="Times New Roman" w:hAnsi="Times New Roman"/>
          <w:lang w:val="es-CL"/>
        </w:rPr>
        <w:footnoteReference w:id="2"/>
      </w:r>
      <w:bookmarkEnd w:id="4"/>
      <w:r>
        <w:rPr>
          <w:rFonts w:ascii="Times New Roman" w:hAnsi="Times New Roman"/>
          <w:lang w:val="es-CL"/>
        </w:rPr>
        <w:t xml:space="preserve"> de las mujeres entre 15 y 65 años, declara haber sufrido algún tipo de violencia en algún momento de su vida. Si bien esta información es entregada por los estudios oficiales de la Subsecretaría de Prevención del Delit</w:t>
      </w:r>
      <w:r>
        <w:rPr>
          <w:rFonts w:ascii="Times New Roman" w:hAnsi="Times New Roman"/>
          <w:lang w:val="es-CL"/>
        </w:rPr>
        <w:t xml:space="preserve">o, debe tenerse presente que existe una importante cantidad de mujeres que no se atreve a denunciar la violencia que sufre, ya sea por miedo, vergüenza, porque no se acepta la condición de víctima, no se </w:t>
      </w:r>
      <w:r>
        <w:rPr>
          <w:rFonts w:ascii="Times New Roman" w:hAnsi="Times New Roman"/>
          <w:lang w:val="es-CL"/>
        </w:rPr>
        <w:lastRenderedPageBreak/>
        <w:t>confía en el sistema judicial, entre otras, por lo q</w:t>
      </w:r>
      <w:r>
        <w:rPr>
          <w:rFonts w:ascii="Times New Roman" w:hAnsi="Times New Roman"/>
          <w:lang w:val="es-CL"/>
        </w:rPr>
        <w:t>ue existe una cifra oscura en esta materia.</w:t>
      </w:r>
    </w:p>
    <w:p w:rsidR="008056AC" w:rsidRDefault="002906D3" w:rsidP="005D2CDC">
      <w:pPr>
        <w:pStyle w:val="western"/>
        <w:numPr>
          <w:ilvl w:val="0"/>
          <w:numId w:val="1"/>
        </w:numPr>
        <w:spacing w:before="280" w:after="0" w:line="480" w:lineRule="auto"/>
        <w:ind w:right="-257"/>
        <w:jc w:val="both"/>
      </w:pPr>
      <w:r>
        <w:rPr>
          <w:rFonts w:ascii="Times New Roman" w:hAnsi="Times New Roman"/>
          <w:lang w:val="es-CL"/>
        </w:rPr>
        <w:t>En efecto, la Tercera encuesta nacional de violencia intrafamiliar contra la mujer y delitos sexuales señala que los principales motivos para no denunciar fueron: (i) Por que no se consideró al episodio de violen</w:t>
      </w:r>
      <w:r>
        <w:rPr>
          <w:rFonts w:ascii="Times New Roman" w:hAnsi="Times New Roman"/>
          <w:lang w:val="es-CL"/>
        </w:rPr>
        <w:t>cia como algo serio, (</w:t>
      </w:r>
      <w:proofErr w:type="spellStart"/>
      <w:r>
        <w:rPr>
          <w:rFonts w:ascii="Times New Roman" w:hAnsi="Times New Roman"/>
          <w:lang w:val="es-CL"/>
        </w:rPr>
        <w:t>ii</w:t>
      </w:r>
      <w:proofErr w:type="spellEnd"/>
      <w:r>
        <w:rPr>
          <w:rFonts w:ascii="Times New Roman" w:hAnsi="Times New Roman"/>
          <w:lang w:val="es-CL"/>
        </w:rPr>
        <w:t>) porque la relación mejoró, (</w:t>
      </w:r>
      <w:proofErr w:type="spellStart"/>
      <w:r>
        <w:rPr>
          <w:rFonts w:ascii="Times New Roman" w:hAnsi="Times New Roman"/>
          <w:lang w:val="es-CL"/>
        </w:rPr>
        <w:t>iii</w:t>
      </w:r>
      <w:proofErr w:type="spellEnd"/>
      <w:r>
        <w:rPr>
          <w:rFonts w:ascii="Times New Roman" w:hAnsi="Times New Roman"/>
          <w:lang w:val="es-CL"/>
        </w:rPr>
        <w:t>) porque se tuvo miedo de denunciar, (</w:t>
      </w:r>
      <w:proofErr w:type="spellStart"/>
      <w:r>
        <w:rPr>
          <w:rFonts w:ascii="Times New Roman" w:hAnsi="Times New Roman"/>
          <w:lang w:val="es-CL"/>
        </w:rPr>
        <w:t>iv</w:t>
      </w:r>
      <w:proofErr w:type="spellEnd"/>
      <w:r>
        <w:rPr>
          <w:rFonts w:ascii="Times New Roman" w:hAnsi="Times New Roman"/>
          <w:lang w:val="es-CL"/>
        </w:rPr>
        <w:t>) por vergüenza de la víctima de exponer su situación personal, (v) otras razones</w:t>
      </w:r>
      <w:hyperlink w:anchor="sdfootnote3sym">
        <w:bookmarkStart w:id="5" w:name="sdfootnote3anc"/>
        <w:r>
          <w:rPr>
            <w:rStyle w:val="EnlacedeInternet"/>
            <w:rFonts w:ascii="Times New Roman" w:hAnsi="Times New Roman"/>
            <w:vertAlign w:val="superscript"/>
            <w:lang w:val="es-CL"/>
          </w:rPr>
          <w:t>3</w:t>
        </w:r>
      </w:hyperlink>
      <w:bookmarkEnd w:id="5"/>
      <w:r>
        <w:rPr>
          <w:rFonts w:ascii="Times New Roman" w:hAnsi="Times New Roman"/>
          <w:lang w:val="es-CL"/>
        </w:rPr>
        <w:t>.</w:t>
      </w:r>
    </w:p>
    <w:p w:rsidR="008056AC" w:rsidRDefault="002906D3" w:rsidP="005D2CDC">
      <w:pPr>
        <w:pStyle w:val="western"/>
        <w:numPr>
          <w:ilvl w:val="0"/>
          <w:numId w:val="1"/>
        </w:numPr>
        <w:spacing w:before="280" w:after="0" w:line="480" w:lineRule="auto"/>
        <w:ind w:right="-257"/>
        <w:jc w:val="both"/>
      </w:pPr>
      <w:r>
        <w:rPr>
          <w:rFonts w:ascii="Times New Roman" w:hAnsi="Times New Roman"/>
          <w:lang w:val="es-CL"/>
        </w:rPr>
        <w:t>Por su parte, de las mujeres que han sid</w:t>
      </w:r>
      <w:r>
        <w:rPr>
          <w:rFonts w:ascii="Times New Roman" w:hAnsi="Times New Roman"/>
          <w:lang w:val="es-CL"/>
        </w:rPr>
        <w:t xml:space="preserve">o víctimas de violencia y que sí han denunciado, la misma encuesta revela que casi la mitad de dichas mujeres considera que no sirve denunciar o que han denunciado previamente y </w:t>
      </w:r>
      <w:r>
        <w:rPr>
          <w:rFonts w:ascii="Times New Roman" w:hAnsi="Times New Roman"/>
          <w:i/>
          <w:iCs/>
          <w:lang w:val="es-CL"/>
        </w:rPr>
        <w:t>“no sirvió para nada</w:t>
      </w:r>
      <w:bookmarkStart w:id="6" w:name="sdfootnote4anc"/>
      <w:r>
        <w:rPr>
          <w:rStyle w:val="Ancladenotaalpie"/>
          <w:rFonts w:ascii="Times New Roman" w:hAnsi="Times New Roman"/>
          <w:i/>
          <w:iCs/>
          <w:lang w:val="es-CL"/>
        </w:rPr>
        <w:footnoteReference w:id="3"/>
      </w:r>
      <w:bookmarkEnd w:id="6"/>
      <w:r>
        <w:rPr>
          <w:rFonts w:ascii="Times New Roman" w:hAnsi="Times New Roman"/>
          <w:i/>
          <w:iCs/>
          <w:lang w:val="es-CL"/>
        </w:rPr>
        <w:t>”.</w:t>
      </w:r>
    </w:p>
    <w:p w:rsidR="008056AC" w:rsidRPr="005D2CDC" w:rsidRDefault="002906D3" w:rsidP="005D2CDC">
      <w:pPr>
        <w:pStyle w:val="western"/>
        <w:numPr>
          <w:ilvl w:val="0"/>
          <w:numId w:val="1"/>
        </w:numPr>
        <w:spacing w:before="280" w:after="0" w:line="480" w:lineRule="auto"/>
        <w:ind w:right="-257"/>
        <w:jc w:val="both"/>
      </w:pPr>
      <w:r>
        <w:rPr>
          <w:rFonts w:ascii="Times New Roman" w:hAnsi="Times New Roman"/>
          <w:lang w:val="es-CL"/>
        </w:rPr>
        <w:t>En relación con lo anterior, el Ministerio Público rec</w:t>
      </w:r>
      <w:r>
        <w:rPr>
          <w:rFonts w:ascii="Times New Roman" w:hAnsi="Times New Roman"/>
          <w:lang w:val="es-CL"/>
        </w:rPr>
        <w:t>ibió durante el período comprendido entre el 01 de enero y el 30 de junio del presente año, 65.838 casos de violencia intrafamiliar</w:t>
      </w:r>
      <w:bookmarkStart w:id="7" w:name="sdfootnote5anc"/>
      <w:r>
        <w:rPr>
          <w:rStyle w:val="Ancladenotaalpie"/>
          <w:rFonts w:ascii="Times New Roman" w:hAnsi="Times New Roman"/>
          <w:lang w:val="es-CL"/>
        </w:rPr>
        <w:footnoteReference w:id="4"/>
      </w:r>
      <w:bookmarkEnd w:id="7"/>
      <w:r>
        <w:rPr>
          <w:rFonts w:ascii="Times New Roman" w:hAnsi="Times New Roman"/>
          <w:lang w:val="es-CL"/>
        </w:rPr>
        <w:t xml:space="preserve">. Por otro lado, es menester destacar que al 24 de septiembre del año 2019 se registran en Chile 34 </w:t>
      </w:r>
      <w:proofErr w:type="spellStart"/>
      <w:r>
        <w:rPr>
          <w:rFonts w:ascii="Times New Roman" w:hAnsi="Times New Roman"/>
          <w:lang w:val="es-CL"/>
        </w:rPr>
        <w:t>femicidios</w:t>
      </w:r>
      <w:proofErr w:type="spellEnd"/>
      <w:r>
        <w:rPr>
          <w:rFonts w:ascii="Times New Roman" w:hAnsi="Times New Roman"/>
          <w:lang w:val="es-CL"/>
        </w:rPr>
        <w:t xml:space="preserve"> y 80 </w:t>
      </w:r>
      <w:proofErr w:type="spellStart"/>
      <w:r>
        <w:rPr>
          <w:rFonts w:ascii="Times New Roman" w:hAnsi="Times New Roman"/>
          <w:lang w:val="es-CL"/>
        </w:rPr>
        <w:t>femicidi</w:t>
      </w:r>
      <w:r>
        <w:rPr>
          <w:rFonts w:ascii="Times New Roman" w:hAnsi="Times New Roman"/>
          <w:lang w:val="es-CL"/>
        </w:rPr>
        <w:t>os</w:t>
      </w:r>
      <w:proofErr w:type="spellEnd"/>
      <w:r>
        <w:rPr>
          <w:rFonts w:ascii="Times New Roman" w:hAnsi="Times New Roman"/>
          <w:lang w:val="es-CL"/>
        </w:rPr>
        <w:t xml:space="preserve"> frustrados</w:t>
      </w:r>
      <w:bookmarkStart w:id="8" w:name="sdfootnote6anc"/>
      <w:r>
        <w:rPr>
          <w:rStyle w:val="Ancladenotaalpie"/>
          <w:rFonts w:ascii="Times New Roman" w:hAnsi="Times New Roman"/>
          <w:lang w:val="es-CL"/>
        </w:rPr>
        <w:footnoteReference w:id="5"/>
      </w:r>
      <w:bookmarkEnd w:id="8"/>
      <w:r>
        <w:rPr>
          <w:rFonts w:ascii="Times New Roman" w:hAnsi="Times New Roman"/>
          <w:lang w:val="es-CL"/>
        </w:rPr>
        <w:t>. Este tipo de delito es la forma más extrema de violencia contra las mujeres, y si bien las penas asociadas a este tipo penal son altas, dado que van desde los 15 años y un día de presidio hasta cadena perpetua, ello no ha sido suficiente pa</w:t>
      </w:r>
      <w:r>
        <w:rPr>
          <w:rFonts w:ascii="Times New Roman" w:hAnsi="Times New Roman"/>
          <w:lang w:val="es-CL"/>
        </w:rPr>
        <w:t xml:space="preserve">ra causar disuasión en el hechor. </w:t>
      </w:r>
    </w:p>
    <w:p w:rsidR="005D2CDC" w:rsidRDefault="005D2CDC" w:rsidP="005D2CDC">
      <w:pPr>
        <w:pStyle w:val="western"/>
        <w:spacing w:before="280" w:after="0" w:line="480" w:lineRule="auto"/>
        <w:ind w:right="-257"/>
        <w:jc w:val="both"/>
      </w:pPr>
    </w:p>
    <w:p w:rsidR="008056AC" w:rsidRDefault="002906D3" w:rsidP="005D2CDC">
      <w:pPr>
        <w:pStyle w:val="western"/>
        <w:numPr>
          <w:ilvl w:val="0"/>
          <w:numId w:val="1"/>
        </w:numPr>
        <w:spacing w:before="280" w:after="0" w:line="480" w:lineRule="auto"/>
        <w:ind w:right="-257"/>
        <w:jc w:val="both"/>
        <w:rPr>
          <w:lang w:val="es-CL"/>
        </w:rPr>
      </w:pPr>
      <w:r>
        <w:rPr>
          <w:rFonts w:ascii="Times New Roman" w:hAnsi="Times New Roman"/>
          <w:lang w:val="es-CL"/>
        </w:rPr>
        <w:lastRenderedPageBreak/>
        <w:t xml:space="preserve">La violencia ejercida contra la mujer es un problema serio, correspondiéndole al Estado un rol de garante y protector de las mujeres que se encuentran en la posición de víctima, cuestión que se encuentra consagrada en la </w:t>
      </w:r>
      <w:r>
        <w:rPr>
          <w:rFonts w:ascii="Times New Roman" w:hAnsi="Times New Roman"/>
          <w:lang w:val="es-CL"/>
        </w:rPr>
        <w:t>Constitución política de la República, la que en su artículo 1° señala que el Estado se encuentra al servicio de la persona humana, debe promover el bien común, creando las condiciones sociales para que todos los integrantes de la comunidad nacional puedan</w:t>
      </w:r>
      <w:r>
        <w:rPr>
          <w:rFonts w:ascii="Times New Roman" w:hAnsi="Times New Roman"/>
          <w:lang w:val="es-CL"/>
        </w:rPr>
        <w:t xml:space="preserve"> alcanzar su mayor realización espiritual y material posible, con pleno respeto a los derechos que la Constitución establece. A su vez, el mismo artículo señala que al Estado le corresponde dar protección a la población y la familia.</w:t>
      </w:r>
    </w:p>
    <w:p w:rsidR="008056AC" w:rsidRDefault="002906D3" w:rsidP="005D2CDC">
      <w:pPr>
        <w:pStyle w:val="western"/>
        <w:numPr>
          <w:ilvl w:val="0"/>
          <w:numId w:val="1"/>
        </w:numPr>
        <w:spacing w:before="280" w:after="0" w:line="480" w:lineRule="auto"/>
        <w:ind w:right="-399"/>
        <w:jc w:val="both"/>
        <w:rPr>
          <w:lang w:val="es-CL"/>
        </w:rPr>
      </w:pPr>
      <w:r>
        <w:rPr>
          <w:rFonts w:ascii="Times New Roman" w:hAnsi="Times New Roman"/>
          <w:lang w:val="es-CL"/>
        </w:rPr>
        <w:t>Que, en específico, al</w:t>
      </w:r>
      <w:r>
        <w:rPr>
          <w:rFonts w:ascii="Times New Roman" w:hAnsi="Times New Roman"/>
          <w:lang w:val="es-CL"/>
        </w:rPr>
        <w:t xml:space="preserve"> observar la potestad cautelar en materia de familia, vemos que esta se encuentra consagrada en términos generales en el artículo 22 de la ley Nº 19.968. Esta potestad cautelar es amplia, siendo de las más amplias que entrega el ordenamiento jurídico, dado</w:t>
      </w:r>
      <w:r>
        <w:rPr>
          <w:rFonts w:ascii="Times New Roman" w:hAnsi="Times New Roman"/>
          <w:lang w:val="es-CL"/>
        </w:rPr>
        <w:t xml:space="preserve"> que le concede al juez la posibilidad de decretar medidas cautelares conservativas o </w:t>
      </w:r>
      <w:proofErr w:type="spellStart"/>
      <w:r>
        <w:rPr>
          <w:rFonts w:ascii="Times New Roman" w:hAnsi="Times New Roman"/>
          <w:lang w:val="es-CL"/>
        </w:rPr>
        <w:t>innovativas</w:t>
      </w:r>
      <w:proofErr w:type="spellEnd"/>
      <w:r>
        <w:rPr>
          <w:rFonts w:ascii="Times New Roman" w:hAnsi="Times New Roman"/>
          <w:lang w:val="es-CL"/>
        </w:rPr>
        <w:t>. A su vez, las mismas pueden llevarse a efecto antes de notificarse a la persona contra quien se dicten. Luego, en lo que refiere a la regulación de los proce</w:t>
      </w:r>
      <w:r>
        <w:rPr>
          <w:rFonts w:ascii="Times New Roman" w:hAnsi="Times New Roman"/>
          <w:lang w:val="es-CL"/>
        </w:rPr>
        <w:t xml:space="preserve">dimientos de violencia intrafamiliar contenido en la misma ley, el </w:t>
      </w:r>
      <w:r w:rsidR="005D2CDC">
        <w:rPr>
          <w:rFonts w:ascii="Times New Roman" w:hAnsi="Times New Roman"/>
          <w:lang w:val="es-CL"/>
        </w:rPr>
        <w:t xml:space="preserve"> </w:t>
      </w:r>
      <w:r>
        <w:rPr>
          <w:rFonts w:ascii="Times New Roman" w:hAnsi="Times New Roman"/>
          <w:lang w:val="es-CL"/>
        </w:rPr>
        <w:t>artículo 92 consagra medidas cautelares en protección de la víctima, señalando la norma en cuestión que el juez debe dar protección a la víctima y su grupo familiar, cautelando la subsisten</w:t>
      </w:r>
      <w:r>
        <w:rPr>
          <w:rFonts w:ascii="Times New Roman" w:hAnsi="Times New Roman"/>
          <w:lang w:val="es-CL"/>
        </w:rPr>
        <w:t>cia económica e integridad patrimonial. Así,</w:t>
      </w:r>
      <w:r w:rsidR="005D2CDC">
        <w:rPr>
          <w:rFonts w:ascii="Times New Roman" w:hAnsi="Times New Roman"/>
          <w:lang w:val="es-CL"/>
        </w:rPr>
        <w:t xml:space="preserve"> </w:t>
      </w:r>
      <w:r>
        <w:rPr>
          <w:rFonts w:ascii="Times New Roman" w:hAnsi="Times New Roman"/>
          <w:lang w:val="es-CL"/>
        </w:rPr>
        <w:t xml:space="preserve"> el juez puede adoptar una de las medidas que señala el artículo 92 u otra. Las medidas del artículo 92 son: (i) Prohibición de acercamiento del ofensor a la víctima, (</w:t>
      </w:r>
      <w:proofErr w:type="spellStart"/>
      <w:r>
        <w:rPr>
          <w:rFonts w:ascii="Times New Roman" w:hAnsi="Times New Roman"/>
          <w:lang w:val="es-CL"/>
        </w:rPr>
        <w:t>ii</w:t>
      </w:r>
      <w:proofErr w:type="spellEnd"/>
      <w:r>
        <w:rPr>
          <w:rFonts w:ascii="Times New Roman" w:hAnsi="Times New Roman"/>
          <w:lang w:val="es-CL"/>
        </w:rPr>
        <w:t xml:space="preserve">) Asegurar la entrega material de efectos </w:t>
      </w:r>
      <w:r>
        <w:rPr>
          <w:rFonts w:ascii="Times New Roman" w:hAnsi="Times New Roman"/>
          <w:lang w:val="es-CL"/>
        </w:rPr>
        <w:t>personales de la víctima que opte por no regresar al hogar común, (</w:t>
      </w:r>
      <w:proofErr w:type="spellStart"/>
      <w:r>
        <w:rPr>
          <w:rFonts w:ascii="Times New Roman" w:hAnsi="Times New Roman"/>
          <w:lang w:val="es-CL"/>
        </w:rPr>
        <w:t>iii</w:t>
      </w:r>
      <w:proofErr w:type="spellEnd"/>
      <w:r>
        <w:rPr>
          <w:rFonts w:ascii="Times New Roman" w:hAnsi="Times New Roman"/>
          <w:lang w:val="es-CL"/>
        </w:rPr>
        <w:t>) Alimentos provisorios, (</w:t>
      </w:r>
      <w:proofErr w:type="spellStart"/>
      <w:r>
        <w:rPr>
          <w:rFonts w:ascii="Times New Roman" w:hAnsi="Times New Roman"/>
          <w:lang w:val="es-CL"/>
        </w:rPr>
        <w:t>iv</w:t>
      </w:r>
      <w:proofErr w:type="spellEnd"/>
      <w:r>
        <w:rPr>
          <w:rFonts w:ascii="Times New Roman" w:hAnsi="Times New Roman"/>
          <w:lang w:val="es-CL"/>
        </w:rPr>
        <w:t xml:space="preserve">) </w:t>
      </w:r>
      <w:r>
        <w:rPr>
          <w:rFonts w:ascii="Times New Roman" w:hAnsi="Times New Roman"/>
          <w:lang w:val="es-CL"/>
        </w:rPr>
        <w:lastRenderedPageBreak/>
        <w:t xml:space="preserve">Régimen provisorio de cuidado personal de niños, niñas, adolescentes, (v) prohibir celebrar actos o contratos, (vi) prohibir el porte y tenencia de armas </w:t>
      </w:r>
      <w:r w:rsidR="005D2CDC">
        <w:rPr>
          <w:rFonts w:ascii="Times New Roman" w:hAnsi="Times New Roman"/>
          <w:lang w:val="es-CL"/>
        </w:rPr>
        <w:t xml:space="preserve"> </w:t>
      </w:r>
      <w:r>
        <w:rPr>
          <w:rFonts w:ascii="Times New Roman" w:hAnsi="Times New Roman"/>
          <w:lang w:val="es-CL"/>
        </w:rPr>
        <w:t>de</w:t>
      </w:r>
      <w:r>
        <w:rPr>
          <w:rFonts w:ascii="Times New Roman" w:hAnsi="Times New Roman"/>
          <w:lang w:val="es-CL"/>
        </w:rPr>
        <w:t xml:space="preserve"> fuego, municiones y cartuchos.</w:t>
      </w:r>
    </w:p>
    <w:p w:rsidR="008056AC" w:rsidRDefault="002906D3" w:rsidP="005D2CDC">
      <w:pPr>
        <w:pStyle w:val="western"/>
        <w:numPr>
          <w:ilvl w:val="0"/>
          <w:numId w:val="1"/>
        </w:numPr>
        <w:spacing w:before="280" w:after="0" w:line="480" w:lineRule="auto"/>
        <w:ind w:right="-257"/>
        <w:jc w:val="both"/>
        <w:rPr>
          <w:lang w:val="es-CL"/>
        </w:rPr>
      </w:pPr>
      <w:r>
        <w:rPr>
          <w:rFonts w:ascii="Times New Roman" w:hAnsi="Times New Roman"/>
          <w:lang w:val="es-CL"/>
        </w:rPr>
        <w:t>Por su parte, la ley 20.066 sobre violencia intrafamiliar que entrega competencia al juez penal, señala en el artículo 15 que pueden decretarse como medidas cautelares, aquellas que sean suficientes para proteger a la víctim</w:t>
      </w:r>
      <w:r>
        <w:rPr>
          <w:rFonts w:ascii="Times New Roman" w:hAnsi="Times New Roman"/>
          <w:lang w:val="es-CL"/>
        </w:rPr>
        <w:t xml:space="preserve">a. Remite este artículo al artículo 92 de la ley 19.968. </w:t>
      </w:r>
    </w:p>
    <w:p w:rsidR="008056AC" w:rsidRDefault="002906D3" w:rsidP="005D2CDC">
      <w:pPr>
        <w:pStyle w:val="western"/>
        <w:spacing w:before="280" w:after="0" w:line="480" w:lineRule="auto"/>
        <w:ind w:left="720" w:right="-257"/>
        <w:jc w:val="both"/>
        <w:rPr>
          <w:lang w:val="es-CL"/>
        </w:rPr>
      </w:pPr>
      <w:r>
        <w:rPr>
          <w:rFonts w:ascii="Times New Roman" w:hAnsi="Times New Roman"/>
          <w:lang w:val="es-CL"/>
        </w:rPr>
        <w:t>A su vez, en procesos penales por violencia intrafamiliar se puede decretar como medida accesoria: (i) La obligación de abandonar el ofensor el hogar común, (</w:t>
      </w:r>
      <w:proofErr w:type="spellStart"/>
      <w:r>
        <w:rPr>
          <w:rFonts w:ascii="Times New Roman" w:hAnsi="Times New Roman"/>
          <w:lang w:val="es-CL"/>
        </w:rPr>
        <w:t>ii</w:t>
      </w:r>
      <w:proofErr w:type="spellEnd"/>
      <w:r>
        <w:rPr>
          <w:rFonts w:ascii="Times New Roman" w:hAnsi="Times New Roman"/>
          <w:lang w:val="es-CL"/>
        </w:rPr>
        <w:t xml:space="preserve">) prohibición de acercarse a la </w:t>
      </w:r>
      <w:r>
        <w:rPr>
          <w:rFonts w:ascii="Times New Roman" w:hAnsi="Times New Roman"/>
          <w:lang w:val="es-CL"/>
        </w:rPr>
        <w:t>víctima, (</w:t>
      </w:r>
      <w:proofErr w:type="spellStart"/>
      <w:r>
        <w:rPr>
          <w:rFonts w:ascii="Times New Roman" w:hAnsi="Times New Roman"/>
          <w:lang w:val="es-CL"/>
        </w:rPr>
        <w:t>iii</w:t>
      </w:r>
      <w:proofErr w:type="spellEnd"/>
      <w:r>
        <w:rPr>
          <w:rFonts w:ascii="Times New Roman" w:hAnsi="Times New Roman"/>
          <w:lang w:val="es-CL"/>
        </w:rPr>
        <w:t>) Prohibición de porte y tenencia de armas de fuego, (</w:t>
      </w:r>
      <w:proofErr w:type="spellStart"/>
      <w:r>
        <w:rPr>
          <w:rFonts w:ascii="Times New Roman" w:hAnsi="Times New Roman"/>
          <w:lang w:val="es-CL"/>
        </w:rPr>
        <w:t>iv</w:t>
      </w:r>
      <w:proofErr w:type="spellEnd"/>
      <w:r>
        <w:rPr>
          <w:rFonts w:ascii="Times New Roman" w:hAnsi="Times New Roman"/>
          <w:lang w:val="es-CL"/>
        </w:rPr>
        <w:t>) asistencia a terapia u orientación familiar, (v) obligación de presentarse regularmente ante la unidad policial que determine el juez.</w:t>
      </w:r>
    </w:p>
    <w:p w:rsidR="008056AC" w:rsidRDefault="002906D3" w:rsidP="005D2CDC">
      <w:pPr>
        <w:pStyle w:val="western"/>
        <w:numPr>
          <w:ilvl w:val="0"/>
          <w:numId w:val="2"/>
        </w:numPr>
        <w:spacing w:before="280" w:after="0" w:line="480" w:lineRule="auto"/>
        <w:ind w:right="-399"/>
        <w:jc w:val="both"/>
        <w:rPr>
          <w:lang w:val="es-CL"/>
        </w:rPr>
      </w:pPr>
      <w:r>
        <w:rPr>
          <w:rFonts w:ascii="Times New Roman" w:hAnsi="Times New Roman"/>
          <w:lang w:val="es-CL"/>
        </w:rPr>
        <w:t>Si bien el catálogo es amplio, el mismo no es sufi</w:t>
      </w:r>
      <w:r>
        <w:rPr>
          <w:rFonts w:ascii="Times New Roman" w:hAnsi="Times New Roman"/>
          <w:lang w:val="es-CL"/>
        </w:rPr>
        <w:t>ciente. En materia de violencia intrafamiliar suele decretarse como primera medida la de prohibición de acercamiento del ofensor a la víctima; pero esta medida es insuficiente por cuanto no existe un sistema de control apto sobre la misma. En efecto, la de</w:t>
      </w:r>
      <w:r>
        <w:rPr>
          <w:rFonts w:ascii="Times New Roman" w:hAnsi="Times New Roman"/>
          <w:lang w:val="es-CL"/>
        </w:rPr>
        <w:t xml:space="preserve">bida protección que debe entregar el Estado a la víctima queda entregada a </w:t>
      </w:r>
      <w:r w:rsidR="005D2CDC">
        <w:rPr>
          <w:rFonts w:ascii="Times New Roman" w:hAnsi="Times New Roman"/>
          <w:lang w:val="es-CL"/>
        </w:rPr>
        <w:t xml:space="preserve"> </w:t>
      </w:r>
      <w:r>
        <w:rPr>
          <w:rFonts w:ascii="Times New Roman" w:hAnsi="Times New Roman"/>
          <w:lang w:val="es-CL"/>
        </w:rPr>
        <w:t>la voluntad del victimario en orden a cumplir con lo decretado por el tribunal. Esta fragilidad del sistema, que radica en la complejidad de hacer cumplir lo ordenado por el tribuna</w:t>
      </w:r>
      <w:r>
        <w:rPr>
          <w:rFonts w:ascii="Times New Roman" w:hAnsi="Times New Roman"/>
          <w:lang w:val="es-CL"/>
        </w:rPr>
        <w:t>l en términos prácticos y materiales, es el que muchas veces hace creer a las víctimas que denunciar es una práctica insuficiente dado que no se sienten protegidas.</w:t>
      </w:r>
    </w:p>
    <w:p w:rsidR="008056AC" w:rsidRDefault="002906D3" w:rsidP="005D2CDC">
      <w:pPr>
        <w:pStyle w:val="western"/>
        <w:numPr>
          <w:ilvl w:val="0"/>
          <w:numId w:val="2"/>
        </w:numPr>
        <w:spacing w:before="280" w:after="0" w:line="480" w:lineRule="auto"/>
        <w:ind w:right="-257"/>
        <w:jc w:val="both"/>
        <w:rPr>
          <w:lang w:val="es-CL"/>
        </w:rPr>
      </w:pPr>
      <w:r>
        <w:rPr>
          <w:rFonts w:ascii="Times New Roman" w:hAnsi="Times New Roman"/>
          <w:lang w:val="es-CL"/>
        </w:rPr>
        <w:lastRenderedPageBreak/>
        <w:t>Es por ello, que el presente proyecto de ley busca agregar dentro del catálogo de medidas c</w:t>
      </w:r>
      <w:r>
        <w:rPr>
          <w:rFonts w:ascii="Times New Roman" w:hAnsi="Times New Roman"/>
          <w:lang w:val="es-CL"/>
        </w:rPr>
        <w:t>autelares que se consagran en los referidos cuerpos normativos anteriores, la posibilidad de decretar el uso de tobilleras electrónicas por parte del ofensor, para que pueda controlarse el cumplimiento de las medidas cautelares a través de dispositivos tel</w:t>
      </w:r>
      <w:r>
        <w:rPr>
          <w:rFonts w:ascii="Times New Roman" w:hAnsi="Times New Roman"/>
          <w:lang w:val="es-CL"/>
        </w:rPr>
        <w:t xml:space="preserve">emáticos. </w:t>
      </w:r>
    </w:p>
    <w:p w:rsidR="008056AC" w:rsidRDefault="008056AC" w:rsidP="005D2CDC">
      <w:pPr>
        <w:pStyle w:val="western"/>
        <w:spacing w:before="280" w:after="0" w:line="480" w:lineRule="auto"/>
        <w:ind w:right="-257"/>
        <w:jc w:val="both"/>
        <w:rPr>
          <w:rFonts w:ascii="Times New Roman" w:hAnsi="Times New Roman"/>
          <w:b/>
          <w:bCs/>
          <w:lang w:val="es-CL"/>
        </w:rPr>
      </w:pPr>
    </w:p>
    <w:p w:rsidR="008056AC" w:rsidRDefault="008056AC" w:rsidP="005D2CDC">
      <w:pPr>
        <w:pStyle w:val="western"/>
        <w:spacing w:before="280" w:after="0" w:line="480" w:lineRule="auto"/>
        <w:ind w:right="-257"/>
        <w:jc w:val="both"/>
        <w:rPr>
          <w:b/>
          <w:bCs/>
          <w:lang w:val="es-CL"/>
        </w:rPr>
      </w:pPr>
    </w:p>
    <w:p w:rsidR="008056AC" w:rsidRDefault="008056AC" w:rsidP="005D2CDC">
      <w:pPr>
        <w:pStyle w:val="western"/>
        <w:spacing w:before="280" w:after="0" w:line="480" w:lineRule="auto"/>
        <w:ind w:right="-257"/>
        <w:jc w:val="both"/>
        <w:rPr>
          <w:b/>
          <w:bCs/>
          <w:lang w:val="es-CL"/>
        </w:rPr>
      </w:pPr>
    </w:p>
    <w:p w:rsidR="008056AC" w:rsidRDefault="002906D3" w:rsidP="005D2CDC">
      <w:pPr>
        <w:pStyle w:val="western"/>
        <w:spacing w:before="280" w:after="0" w:line="480" w:lineRule="auto"/>
        <w:ind w:right="-257"/>
        <w:jc w:val="both"/>
        <w:rPr>
          <w:rFonts w:ascii="Times New Roman" w:hAnsi="Times New Roman"/>
        </w:rPr>
      </w:pPr>
      <w:r>
        <w:rPr>
          <w:rFonts w:ascii="Times New Roman" w:hAnsi="Times New Roman"/>
          <w:b/>
          <w:bCs/>
          <w:lang w:val="es-CL"/>
        </w:rPr>
        <w:t>III. CONTENIDO DEL PROYECTO DE LEY</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Artículo Primero: Modifíquese el numeral 1 del inciso primero del artículo 92, de la ley N</w:t>
      </w:r>
      <w:proofErr w:type="gramStart"/>
      <w:r>
        <w:rPr>
          <w:rFonts w:ascii="Times New Roman" w:hAnsi="Times New Roman"/>
          <w:lang w:val="es-CL"/>
        </w:rPr>
        <w:t>.º</w:t>
      </w:r>
      <w:proofErr w:type="gramEnd"/>
      <w:r>
        <w:rPr>
          <w:rFonts w:ascii="Times New Roman" w:hAnsi="Times New Roman"/>
          <w:lang w:val="es-CL"/>
        </w:rPr>
        <w:t xml:space="preserve"> 19.986, de acuerdo al siguiente texto:</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 xml:space="preserve">Agréguese luego del punto final del numeral 1, la frase </w:t>
      </w:r>
      <w:r>
        <w:rPr>
          <w:rFonts w:ascii="Times New Roman" w:hAnsi="Times New Roman"/>
          <w:b/>
          <w:bCs/>
          <w:lang w:val="es-CL"/>
        </w:rPr>
        <w:t>“Para dar cumplimie</w:t>
      </w:r>
      <w:r>
        <w:rPr>
          <w:rFonts w:ascii="Times New Roman" w:hAnsi="Times New Roman"/>
          <w:b/>
          <w:bCs/>
          <w:lang w:val="es-CL"/>
        </w:rPr>
        <w:t>nto a esta medida cautelar, la víctima podrá solicitar al Tribunal que la medida sea monitoreada mediante el sistema telemático señalado en el título III de la ley Nº 18.216 que establece penas que indica como sustitutivas a las penas privativas o restrict</w:t>
      </w:r>
      <w:r>
        <w:rPr>
          <w:rFonts w:ascii="Times New Roman" w:hAnsi="Times New Roman"/>
          <w:b/>
          <w:bCs/>
          <w:lang w:val="es-CL"/>
        </w:rPr>
        <w:t>ivas de libertad.”</w:t>
      </w:r>
    </w:p>
    <w:p w:rsidR="005D2CDC" w:rsidRDefault="005D2CDC">
      <w:pPr>
        <w:spacing w:after="0" w:line="240" w:lineRule="auto"/>
        <w:rPr>
          <w:rFonts w:ascii="Times New Roman" w:eastAsia="Times New Roman" w:hAnsi="Times New Roman" w:cs="Liberation Serif"/>
          <w:color w:val="000000"/>
          <w:sz w:val="24"/>
          <w:szCs w:val="24"/>
          <w:lang w:val="es-CL" w:eastAsia="es-ES"/>
        </w:rPr>
      </w:pPr>
      <w:r>
        <w:rPr>
          <w:rFonts w:ascii="Times New Roman" w:hAnsi="Times New Roman"/>
          <w:lang w:val="es-CL"/>
        </w:rPr>
        <w:br w:type="page"/>
      </w:r>
    </w:p>
    <w:p w:rsidR="008056AC" w:rsidRDefault="008056AC" w:rsidP="005D2CDC">
      <w:pPr>
        <w:pStyle w:val="western"/>
        <w:spacing w:before="280" w:after="0" w:line="480" w:lineRule="auto"/>
        <w:ind w:right="-257"/>
        <w:jc w:val="both"/>
        <w:rPr>
          <w:rFonts w:ascii="Times New Roman" w:hAnsi="Times New Roman"/>
          <w:lang w:val="es-CL"/>
        </w:rPr>
      </w:pPr>
    </w:p>
    <w:p w:rsidR="008056AC" w:rsidRDefault="002906D3" w:rsidP="005D2CDC">
      <w:pPr>
        <w:pStyle w:val="western"/>
        <w:spacing w:before="280" w:after="0" w:line="480" w:lineRule="auto"/>
        <w:ind w:right="-257"/>
        <w:jc w:val="both"/>
        <w:rPr>
          <w:lang w:val="es-CL"/>
        </w:rPr>
      </w:pPr>
      <w:r>
        <w:rPr>
          <w:rFonts w:ascii="Times New Roman" w:hAnsi="Times New Roman"/>
          <w:lang w:val="es-CL"/>
        </w:rPr>
        <w:t>Artículo segundo: Agréguese un nuevo inciso final dentro del artículo 9 de la ley N</w:t>
      </w:r>
      <w:proofErr w:type="gramStart"/>
      <w:r>
        <w:rPr>
          <w:rFonts w:ascii="Times New Roman" w:hAnsi="Times New Roman"/>
          <w:lang w:val="es-CL"/>
        </w:rPr>
        <w:t>.º</w:t>
      </w:r>
      <w:proofErr w:type="gramEnd"/>
      <w:r>
        <w:rPr>
          <w:rFonts w:ascii="Times New Roman" w:hAnsi="Times New Roman"/>
          <w:lang w:val="es-CL"/>
        </w:rPr>
        <w:t xml:space="preserve"> 20.066 que establece la ley de violencia intrafamiliar, de acuerdo al siguiente texto:</w:t>
      </w:r>
    </w:p>
    <w:p w:rsidR="008056AC" w:rsidRDefault="002906D3" w:rsidP="005D2CDC">
      <w:pPr>
        <w:pStyle w:val="western"/>
        <w:spacing w:before="280" w:after="0" w:line="480" w:lineRule="auto"/>
        <w:ind w:right="-257"/>
        <w:jc w:val="both"/>
        <w:rPr>
          <w:lang w:val="es-CL"/>
        </w:rPr>
      </w:pPr>
      <w:r>
        <w:rPr>
          <w:rFonts w:ascii="Times New Roman" w:hAnsi="Times New Roman"/>
          <w:lang w:val="es-CL"/>
        </w:rPr>
        <w:t>“</w:t>
      </w:r>
      <w:r>
        <w:rPr>
          <w:rFonts w:ascii="Times New Roman" w:hAnsi="Times New Roman"/>
          <w:b/>
          <w:bCs/>
          <w:lang w:val="es-CL"/>
        </w:rPr>
        <w:t>Para dar cumplimiento a las medidas cautelares señaladas en el</w:t>
      </w:r>
      <w:r>
        <w:rPr>
          <w:rFonts w:ascii="Times New Roman" w:hAnsi="Times New Roman"/>
          <w:b/>
          <w:bCs/>
          <w:lang w:val="es-CL"/>
        </w:rPr>
        <w:t xml:space="preserve"> literal a) y b) de este artículo, la víctima podrá solicitar al Tribunal que la medida sea monitoreada mediante el sistema telemático señalado en el título III de la ley N.º 18.216 que establece penas que indica como sustitutivas a las penas privativas o </w:t>
      </w:r>
      <w:r>
        <w:rPr>
          <w:rFonts w:ascii="Times New Roman" w:hAnsi="Times New Roman"/>
          <w:b/>
          <w:bCs/>
          <w:lang w:val="es-CL"/>
        </w:rPr>
        <w:t>restrictivas de libertad.”</w:t>
      </w:r>
    </w:p>
    <w:p w:rsidR="008056AC" w:rsidRDefault="008056AC" w:rsidP="005D2CDC">
      <w:pPr>
        <w:pStyle w:val="western"/>
        <w:spacing w:before="280" w:after="0" w:line="480" w:lineRule="auto"/>
        <w:ind w:right="-257"/>
        <w:jc w:val="both"/>
        <w:rPr>
          <w:rFonts w:ascii="Times New Roman" w:hAnsi="Times New Roman"/>
          <w:lang w:val="es-CL"/>
        </w:rPr>
      </w:pPr>
    </w:p>
    <w:p w:rsidR="008056AC" w:rsidRDefault="008056AC" w:rsidP="005D2CDC">
      <w:pPr>
        <w:pStyle w:val="western"/>
        <w:spacing w:before="280" w:after="0" w:line="480" w:lineRule="auto"/>
        <w:ind w:right="-257"/>
        <w:jc w:val="both"/>
        <w:rPr>
          <w:rFonts w:ascii="Times New Roman" w:hAnsi="Times New Roman"/>
          <w:lang w:val="es-CL"/>
        </w:rPr>
      </w:pPr>
    </w:p>
    <w:p w:rsidR="008056AC" w:rsidRDefault="002906D3" w:rsidP="005D2CDC">
      <w:pPr>
        <w:pStyle w:val="western"/>
        <w:spacing w:before="280" w:after="0" w:line="480" w:lineRule="auto"/>
        <w:ind w:right="-257"/>
        <w:jc w:val="center"/>
        <w:rPr>
          <w:lang w:val="es-CL"/>
        </w:rPr>
      </w:pPr>
      <w:r>
        <w:rPr>
          <w:rFonts w:ascii="Times New Roman" w:hAnsi="Times New Roman"/>
          <w:b/>
          <w:bCs/>
          <w:lang w:val="es-CL"/>
        </w:rPr>
        <w:t>MARÍA JOSÉ HOFFMANN OPAZO</w:t>
      </w:r>
    </w:p>
    <w:p w:rsidR="008056AC" w:rsidRDefault="002906D3" w:rsidP="005D2CDC">
      <w:pPr>
        <w:pStyle w:val="western"/>
        <w:spacing w:before="280" w:after="0" w:line="480" w:lineRule="auto"/>
        <w:ind w:right="-257"/>
        <w:jc w:val="center"/>
        <w:rPr>
          <w:lang w:val="es-CL"/>
        </w:rPr>
      </w:pPr>
      <w:r>
        <w:rPr>
          <w:rFonts w:ascii="Times New Roman" w:hAnsi="Times New Roman"/>
          <w:b/>
          <w:bCs/>
          <w:lang w:val="es-CL"/>
        </w:rPr>
        <w:t>DIPUTADA</w:t>
      </w:r>
    </w:p>
    <w:p w:rsidR="008056AC" w:rsidRDefault="008056AC" w:rsidP="005D2CDC">
      <w:pPr>
        <w:pStyle w:val="western"/>
        <w:spacing w:before="280" w:after="0" w:line="480" w:lineRule="auto"/>
        <w:ind w:right="-257"/>
        <w:jc w:val="both"/>
        <w:rPr>
          <w:lang w:val="es-CL"/>
        </w:rPr>
      </w:pPr>
    </w:p>
    <w:sectPr w:rsidR="008056AC" w:rsidSect="008056AC">
      <w:pgSz w:w="11906" w:h="16838"/>
      <w:pgMar w:top="1417" w:right="1706" w:bottom="1417" w:left="2235"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6D3" w:rsidRDefault="002906D3" w:rsidP="008056AC">
      <w:pPr>
        <w:spacing w:after="0" w:line="240" w:lineRule="auto"/>
      </w:pPr>
      <w:r>
        <w:separator/>
      </w:r>
    </w:p>
  </w:endnote>
  <w:endnote w:type="continuationSeparator" w:id="0">
    <w:p w:rsidR="002906D3" w:rsidRDefault="002906D3" w:rsidP="00805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6D3" w:rsidRDefault="002906D3">
      <w:r>
        <w:separator/>
      </w:r>
    </w:p>
  </w:footnote>
  <w:footnote w:type="continuationSeparator" w:id="0">
    <w:p w:rsidR="002906D3" w:rsidRDefault="002906D3">
      <w:r>
        <w:continuationSeparator/>
      </w:r>
    </w:p>
  </w:footnote>
  <w:footnote w:id="1">
    <w:p w:rsidR="008056AC" w:rsidRDefault="002906D3">
      <w:pPr>
        <w:pStyle w:val="sdfootnote-western"/>
        <w:spacing w:before="280"/>
        <w:ind w:firstLine="0"/>
        <w:jc w:val="both"/>
      </w:pPr>
      <w:r>
        <w:rPr>
          <w:rStyle w:val="Caracteresdenotaalpie"/>
        </w:rPr>
        <w:footnoteRef/>
      </w:r>
      <w:bookmarkStart w:id="1" w:name="sdfootnote1sym"/>
      <w:bookmarkEnd w:id="1"/>
      <w:r>
        <w:rPr>
          <w:lang w:val="es-CL"/>
        </w:rPr>
        <w:t xml:space="preserve">Subsecretaría de Prevención del Delito; Tercera encuesta nacional de violencia intrafamiliar contra la mujer y delitos sexuales, Santiago, 2018. Disponible en: </w:t>
      </w:r>
      <w:hyperlink r:id="rId1">
        <w:r>
          <w:rPr>
            <w:rStyle w:val="EnlacedeInternet"/>
            <w:lang w:val="es-CL"/>
          </w:rPr>
          <w:t>http://static.emol.cl/emol50/documentos/archivos/2018/01/08/20180108153211.pdf</w:t>
        </w:r>
      </w:hyperlink>
      <w:r>
        <w:rPr>
          <w:lang w:val="es-CL"/>
        </w:rPr>
        <w:t xml:space="preserve"> </w:t>
      </w:r>
      <w:bookmarkStart w:id="2" w:name="sdfootnote5sym"/>
      <w:bookmarkStart w:id="3" w:name="sdfootnote6sym"/>
      <w:bookmarkEnd w:id="2"/>
      <w:bookmarkEnd w:id="3"/>
    </w:p>
  </w:footnote>
  <w:footnote w:id="2">
    <w:p w:rsidR="008056AC" w:rsidRDefault="002906D3">
      <w:pPr>
        <w:pStyle w:val="FootnoteText"/>
      </w:pPr>
      <w:r>
        <w:rPr>
          <w:rStyle w:val="Caracteresdenotaalpie"/>
        </w:rPr>
        <w:footnoteRef/>
      </w:r>
      <w:r>
        <w:tab/>
      </w:r>
      <w:proofErr w:type="spellStart"/>
      <w:r>
        <w:t>Idem</w:t>
      </w:r>
      <w:proofErr w:type="spellEnd"/>
      <w:r>
        <w:t xml:space="preserve"> cita n</w:t>
      </w:r>
      <w:proofErr w:type="gramStart"/>
      <w:r>
        <w:t>.º</w:t>
      </w:r>
      <w:proofErr w:type="gramEnd"/>
      <w:r>
        <w:t xml:space="preserve"> 1.</w:t>
      </w:r>
    </w:p>
  </w:footnote>
  <w:footnote w:id="3">
    <w:p w:rsidR="008056AC" w:rsidRDefault="002906D3">
      <w:pPr>
        <w:pStyle w:val="FootnoteText"/>
      </w:pPr>
      <w:r>
        <w:rPr>
          <w:rStyle w:val="Caracteresdenotaalpie"/>
        </w:rPr>
        <w:footnoteRef/>
      </w:r>
      <w:r>
        <w:tab/>
      </w:r>
      <w:proofErr w:type="spellStart"/>
      <w:r>
        <w:t>Idem</w:t>
      </w:r>
      <w:proofErr w:type="spellEnd"/>
      <w:r>
        <w:t xml:space="preserve"> cita n</w:t>
      </w:r>
      <w:proofErr w:type="gramStart"/>
      <w:r>
        <w:t>.º</w:t>
      </w:r>
      <w:proofErr w:type="gramEnd"/>
      <w:r>
        <w:t xml:space="preserve"> 1.</w:t>
      </w:r>
    </w:p>
  </w:footnote>
  <w:footnote w:id="4">
    <w:p w:rsidR="008056AC" w:rsidRDefault="002906D3">
      <w:pPr>
        <w:pStyle w:val="sdfootnote-western"/>
        <w:spacing w:before="280"/>
        <w:jc w:val="both"/>
      </w:pPr>
      <w:r>
        <w:rPr>
          <w:rStyle w:val="Caracteresdenotaalpie"/>
        </w:rPr>
        <w:footnoteRef/>
      </w:r>
      <w:r>
        <w:rPr>
          <w:lang w:val="es-CL"/>
        </w:rPr>
        <w:tab/>
        <w:t xml:space="preserve">Ministerio público, Boletín Estadístico Primer Semestre, Santiago, 2019. Disponible en: </w:t>
      </w:r>
      <w:hyperlink r:id="rId2">
        <w:r>
          <w:rPr>
            <w:rStyle w:val="EnlacedeInternet"/>
            <w:lang w:val="es-CL"/>
          </w:rPr>
          <w:t>http://www.fiscaliadechile.cl/Fiscalia/estadisticas/index.do</w:t>
        </w:r>
      </w:hyperlink>
      <w:r>
        <w:rPr>
          <w:lang w:val="es-CL"/>
        </w:rPr>
        <w:t xml:space="preserve"> </w:t>
      </w:r>
    </w:p>
  </w:footnote>
  <w:footnote w:id="5">
    <w:p w:rsidR="008056AC" w:rsidRDefault="002906D3">
      <w:pPr>
        <w:pStyle w:val="sdfootnote-western"/>
        <w:spacing w:before="280"/>
        <w:jc w:val="both"/>
      </w:pPr>
      <w:r>
        <w:rPr>
          <w:rStyle w:val="Caracteresdenotaalpie"/>
        </w:rPr>
        <w:footnoteRef/>
      </w:r>
      <w:r>
        <w:rPr>
          <w:lang w:val="es-CL"/>
        </w:rPr>
        <w:tab/>
      </w:r>
      <w:proofErr w:type="spellStart"/>
      <w:r>
        <w:rPr>
          <w:lang w:val="es-CL"/>
        </w:rPr>
        <w:t>Sernameg</w:t>
      </w:r>
      <w:proofErr w:type="spellEnd"/>
      <w:r>
        <w:rPr>
          <w:lang w:val="es-CL"/>
        </w:rPr>
        <w:t xml:space="preserve">, </w:t>
      </w:r>
      <w:proofErr w:type="spellStart"/>
      <w:r>
        <w:rPr>
          <w:i/>
          <w:iCs/>
          <w:lang w:val="es-CL"/>
        </w:rPr>
        <w:t>Femicidios</w:t>
      </w:r>
      <w:proofErr w:type="spellEnd"/>
      <w:r>
        <w:rPr>
          <w:i/>
          <w:iCs/>
          <w:lang w:val="es-CL"/>
        </w:rPr>
        <w:t xml:space="preserve">, </w:t>
      </w:r>
      <w:r>
        <w:rPr>
          <w:lang w:val="es-CL"/>
        </w:rPr>
        <w:t xml:space="preserve">Disponible en: </w:t>
      </w:r>
      <w:hyperlink r:id="rId3">
        <w:r>
          <w:rPr>
            <w:rStyle w:val="EnlacedeInternet"/>
            <w:lang w:val="es-CL"/>
          </w:rPr>
          <w:t>https://www.sernameg.gob.cl/?page_id=27084</w:t>
        </w:r>
      </w:hyperlink>
      <w:r>
        <w:rPr>
          <w:lang w:val="es-CL"/>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2310D"/>
    <w:multiLevelType w:val="multilevel"/>
    <w:tmpl w:val="E4F2D2E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9857C65"/>
    <w:multiLevelType w:val="multilevel"/>
    <w:tmpl w:val="F6048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8DE2DB3"/>
    <w:multiLevelType w:val="multilevel"/>
    <w:tmpl w:val="E07C89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056AC"/>
    <w:rsid w:val="002906D3"/>
    <w:rsid w:val="005D2CDC"/>
    <w:rsid w:val="008056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CD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B74041"/>
    <w:rPr>
      <w:color w:val="000080"/>
      <w:u w:val="single"/>
    </w:rPr>
  </w:style>
  <w:style w:type="character" w:customStyle="1" w:styleId="TextodegloboCar">
    <w:name w:val="Texto de globo Car"/>
    <w:basedOn w:val="Fuentedeprrafopredeter"/>
    <w:link w:val="Textodeglobo"/>
    <w:uiPriority w:val="99"/>
    <w:semiHidden/>
    <w:qFormat/>
    <w:rsid w:val="00B74041"/>
    <w:rPr>
      <w:rFonts w:ascii="Tahoma" w:hAnsi="Tahoma" w:cs="Tahoma"/>
      <w:sz w:val="16"/>
      <w:szCs w:val="16"/>
    </w:rPr>
  </w:style>
  <w:style w:type="character" w:customStyle="1" w:styleId="ListLabel1">
    <w:name w:val="ListLabel 1"/>
    <w:qFormat/>
    <w:rsid w:val="008056AC"/>
    <w:rPr>
      <w:sz w:val="14"/>
      <w:szCs w:val="14"/>
      <w:vertAlign w:val="superscript"/>
      <w:lang w:val="es-CL"/>
    </w:rPr>
  </w:style>
  <w:style w:type="character" w:customStyle="1" w:styleId="ListLabel2">
    <w:name w:val="ListLabel 2"/>
    <w:qFormat/>
    <w:rsid w:val="008056AC"/>
    <w:rPr>
      <w:i/>
      <w:iCs/>
      <w:sz w:val="14"/>
      <w:szCs w:val="14"/>
      <w:vertAlign w:val="superscript"/>
      <w:lang w:val="es-CL"/>
    </w:rPr>
  </w:style>
  <w:style w:type="character" w:customStyle="1" w:styleId="ListLabel3">
    <w:name w:val="ListLabel 3"/>
    <w:qFormat/>
    <w:rsid w:val="008056AC"/>
    <w:rPr>
      <w:lang w:val="es-CL"/>
    </w:rPr>
  </w:style>
  <w:style w:type="character" w:customStyle="1" w:styleId="Caracteresdenotaalpie">
    <w:name w:val="Caracteres de nota al pie"/>
    <w:qFormat/>
    <w:rsid w:val="008056AC"/>
  </w:style>
  <w:style w:type="character" w:customStyle="1" w:styleId="Ancladenotaalpie">
    <w:name w:val="Ancla de nota al pie"/>
    <w:rsid w:val="008056AC"/>
    <w:rPr>
      <w:vertAlign w:val="superscript"/>
    </w:rPr>
  </w:style>
  <w:style w:type="character" w:customStyle="1" w:styleId="Ancladenotafinal">
    <w:name w:val="Ancla de nota final"/>
    <w:rsid w:val="008056AC"/>
    <w:rPr>
      <w:vertAlign w:val="superscript"/>
    </w:rPr>
  </w:style>
  <w:style w:type="character" w:customStyle="1" w:styleId="Caracteresdenotafinal">
    <w:name w:val="Caracteres de nota final"/>
    <w:qFormat/>
    <w:rsid w:val="008056AC"/>
  </w:style>
  <w:style w:type="paragraph" w:styleId="Ttulo">
    <w:name w:val="Title"/>
    <w:basedOn w:val="Normal"/>
    <w:next w:val="Textoindependiente"/>
    <w:qFormat/>
    <w:rsid w:val="008056AC"/>
    <w:pPr>
      <w:keepNext/>
      <w:spacing w:before="240" w:after="120"/>
    </w:pPr>
    <w:rPr>
      <w:rFonts w:ascii="Liberation Sans" w:eastAsia="Microsoft YaHei" w:hAnsi="Liberation Sans" w:cs="Arial"/>
      <w:sz w:val="28"/>
      <w:szCs w:val="28"/>
    </w:rPr>
  </w:style>
  <w:style w:type="paragraph" w:styleId="Textoindependiente">
    <w:name w:val="Body Text"/>
    <w:basedOn w:val="Normal"/>
    <w:rsid w:val="008056AC"/>
    <w:pPr>
      <w:spacing w:after="140"/>
    </w:pPr>
  </w:style>
  <w:style w:type="paragraph" w:styleId="Lista">
    <w:name w:val="List"/>
    <w:basedOn w:val="Textoindependiente"/>
    <w:rsid w:val="008056AC"/>
    <w:rPr>
      <w:rFonts w:cs="Arial"/>
    </w:rPr>
  </w:style>
  <w:style w:type="paragraph" w:customStyle="1" w:styleId="Caption">
    <w:name w:val="Caption"/>
    <w:basedOn w:val="Normal"/>
    <w:qFormat/>
    <w:rsid w:val="008056AC"/>
    <w:pPr>
      <w:suppressLineNumbers/>
      <w:spacing w:before="120" w:after="120"/>
    </w:pPr>
    <w:rPr>
      <w:rFonts w:cs="Arial"/>
      <w:i/>
      <w:iCs/>
      <w:sz w:val="24"/>
      <w:szCs w:val="24"/>
    </w:rPr>
  </w:style>
  <w:style w:type="paragraph" w:customStyle="1" w:styleId="ndice">
    <w:name w:val="Índice"/>
    <w:basedOn w:val="Normal"/>
    <w:qFormat/>
    <w:rsid w:val="008056AC"/>
    <w:pPr>
      <w:suppressLineNumbers/>
    </w:pPr>
    <w:rPr>
      <w:rFonts w:cs="Arial"/>
    </w:rPr>
  </w:style>
  <w:style w:type="paragraph" w:customStyle="1" w:styleId="sdfootnote-western">
    <w:name w:val="sdfootnote-western"/>
    <w:basedOn w:val="Normal"/>
    <w:qFormat/>
    <w:rsid w:val="00B74041"/>
    <w:pPr>
      <w:spacing w:beforeAutospacing="1" w:after="0" w:line="240" w:lineRule="auto"/>
      <w:ind w:left="340" w:hanging="340"/>
    </w:pPr>
    <w:rPr>
      <w:rFonts w:ascii="Liberation Serif" w:eastAsia="Times New Roman" w:hAnsi="Liberation Serif" w:cs="Liberation Serif"/>
      <w:color w:val="000000"/>
      <w:sz w:val="20"/>
      <w:szCs w:val="20"/>
      <w:lang w:eastAsia="es-ES"/>
    </w:rPr>
  </w:style>
  <w:style w:type="paragraph" w:customStyle="1" w:styleId="western">
    <w:name w:val="western"/>
    <w:basedOn w:val="Normal"/>
    <w:qFormat/>
    <w:rsid w:val="00B74041"/>
    <w:pPr>
      <w:spacing w:beforeAutospacing="1" w:after="142"/>
    </w:pPr>
    <w:rPr>
      <w:rFonts w:ascii="Liberation Serif" w:eastAsia="Times New Roman" w:hAnsi="Liberation Serif" w:cs="Liberation Serif"/>
      <w:color w:val="000000"/>
      <w:sz w:val="24"/>
      <w:szCs w:val="24"/>
      <w:lang w:eastAsia="es-ES"/>
    </w:rPr>
  </w:style>
  <w:style w:type="paragraph" w:styleId="Textodeglobo">
    <w:name w:val="Balloon Text"/>
    <w:basedOn w:val="Normal"/>
    <w:link w:val="TextodegloboCar"/>
    <w:uiPriority w:val="99"/>
    <w:semiHidden/>
    <w:unhideWhenUsed/>
    <w:qFormat/>
    <w:rsid w:val="00B74041"/>
    <w:pPr>
      <w:spacing w:after="0" w:line="240" w:lineRule="auto"/>
    </w:pPr>
    <w:rPr>
      <w:rFonts w:ascii="Tahoma" w:hAnsi="Tahoma" w:cs="Tahoma"/>
      <w:sz w:val="16"/>
      <w:szCs w:val="16"/>
    </w:rPr>
  </w:style>
  <w:style w:type="paragraph" w:customStyle="1" w:styleId="FootnoteText">
    <w:name w:val="Footnote Text"/>
    <w:basedOn w:val="Normal"/>
    <w:rsid w:val="008056AC"/>
    <w:pPr>
      <w:suppressLineNumbers/>
      <w:ind w:left="339" w:hanging="339"/>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ernameg.gob.cl/?page_id=27084" TargetMode="External"/><Relationship Id="rId2" Type="http://schemas.openxmlformats.org/officeDocument/2006/relationships/hyperlink" Target="http://www.fiscaliadechile.cl/Fiscalia/estadisticas/index.do" TargetMode="External"/><Relationship Id="rId1" Type="http://schemas.openxmlformats.org/officeDocument/2006/relationships/hyperlink" Target="http://static.emol.cl/emol50/documentos/archivos/2018/01/08/201801081532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1368</Words>
  <Characters>7528</Characters>
  <Application>Microsoft Office Word</Application>
  <DocSecurity>0</DocSecurity>
  <Lines>62</Lines>
  <Paragraphs>17</Paragraphs>
  <ScaleCrop>false</ScaleCrop>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Comite UDI MiniPC 05</dc:creator>
  <dc:description/>
  <cp:lastModifiedBy>Guillermo Diaz Vallejos</cp:lastModifiedBy>
  <cp:revision>6</cp:revision>
  <dcterms:created xsi:type="dcterms:W3CDTF">2019-09-30T14:26:00Z</dcterms:created>
  <dcterms:modified xsi:type="dcterms:W3CDTF">2019-10-03T14:41:00Z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