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0BF" w:rsidRDefault="003C5DB0" w:rsidP="003C5DB0">
      <w:pPr>
        <w:spacing w:after="0" w:line="320" w:lineRule="exact"/>
        <w:jc w:val="both"/>
        <w:rPr>
          <w:rFonts w:cstheme="minorHAnsi"/>
          <w:b/>
          <w:smallCaps/>
          <w:sz w:val="26"/>
          <w:szCs w:val="26"/>
        </w:rPr>
      </w:pPr>
      <w:r w:rsidRPr="003C5DB0">
        <w:rPr>
          <w:rFonts w:cstheme="minorHAnsi"/>
          <w:b/>
          <w:smallCaps/>
          <w:sz w:val="26"/>
          <w:szCs w:val="26"/>
        </w:rPr>
        <w:t>Modifica el Código Penal para tipificar como delito la alteración de la paz pública mediante la ejecución de actos de violencia, y agrava las penas aplicables, en las circunstancias que indica</w:t>
      </w:r>
    </w:p>
    <w:p w:rsidR="003C5DB0" w:rsidRDefault="003C5DB0" w:rsidP="003C5DB0">
      <w:pPr>
        <w:spacing w:after="0" w:line="320" w:lineRule="exact"/>
        <w:jc w:val="both"/>
        <w:rPr>
          <w:rFonts w:cstheme="minorHAnsi"/>
          <w:b/>
          <w:smallCaps/>
          <w:sz w:val="26"/>
          <w:szCs w:val="26"/>
        </w:rPr>
      </w:pPr>
    </w:p>
    <w:p w:rsidR="003C5DB0" w:rsidRDefault="003C5DB0" w:rsidP="003C5DB0">
      <w:pPr>
        <w:spacing w:after="0" w:line="320" w:lineRule="exact"/>
        <w:jc w:val="center"/>
        <w:rPr>
          <w:rFonts w:cstheme="minorHAnsi"/>
          <w:b/>
          <w:smallCaps/>
          <w:sz w:val="26"/>
          <w:szCs w:val="26"/>
        </w:rPr>
      </w:pPr>
      <w:r>
        <w:rPr>
          <w:rFonts w:cstheme="minorHAnsi"/>
          <w:b/>
          <w:smallCaps/>
          <w:sz w:val="26"/>
          <w:szCs w:val="26"/>
        </w:rPr>
        <w:t>boletín N° 13090-25</w:t>
      </w:r>
    </w:p>
    <w:p w:rsidR="003C5DB0" w:rsidRDefault="003C5DB0" w:rsidP="003C5DB0">
      <w:pPr>
        <w:spacing w:after="0" w:line="320" w:lineRule="exact"/>
        <w:jc w:val="center"/>
        <w:rPr>
          <w:rFonts w:cstheme="minorHAnsi"/>
          <w:smallCaps/>
        </w:rPr>
      </w:pPr>
    </w:p>
    <w:p w:rsidR="00415CBC" w:rsidRDefault="00A37A85" w:rsidP="00981EE8">
      <w:pPr>
        <w:spacing w:after="0" w:line="276" w:lineRule="auto"/>
        <w:jc w:val="center"/>
        <w:rPr>
          <w:rFonts w:cstheme="minorHAnsi"/>
          <w:smallCaps/>
          <w:u w:val="single"/>
        </w:rPr>
      </w:pPr>
      <w:r w:rsidRPr="00836DE0">
        <w:rPr>
          <w:rFonts w:cstheme="minorHAnsi"/>
          <w:smallCaps/>
          <w:u w:val="single"/>
        </w:rPr>
        <w:t>Fundamentos y Antecedentes</w:t>
      </w:r>
    </w:p>
    <w:p w:rsidR="00FC506C" w:rsidRDefault="00FC506C" w:rsidP="00981EE8">
      <w:pPr>
        <w:spacing w:after="0" w:line="276" w:lineRule="auto"/>
        <w:jc w:val="center"/>
        <w:rPr>
          <w:rFonts w:cstheme="minorHAnsi"/>
          <w:smallCaps/>
          <w:u w:val="single"/>
        </w:rPr>
      </w:pPr>
    </w:p>
    <w:p w:rsidR="000868EC" w:rsidRDefault="000868EC" w:rsidP="00981EE8">
      <w:pPr>
        <w:spacing w:after="0" w:line="276" w:lineRule="auto"/>
        <w:jc w:val="center"/>
        <w:rPr>
          <w:rFonts w:cstheme="minorHAnsi"/>
          <w:smallCaps/>
          <w:u w:val="single"/>
        </w:rPr>
      </w:pPr>
    </w:p>
    <w:p w:rsidR="00FC506C" w:rsidRPr="00C25475" w:rsidRDefault="00FC506C" w:rsidP="00FC506C">
      <w:pPr>
        <w:pStyle w:val="Prrafodelista"/>
        <w:numPr>
          <w:ilvl w:val="0"/>
          <w:numId w:val="24"/>
        </w:numPr>
        <w:spacing w:after="0" w:line="276" w:lineRule="auto"/>
        <w:jc w:val="both"/>
        <w:rPr>
          <w:rFonts w:cstheme="minorHAnsi"/>
        </w:rPr>
      </w:pPr>
      <w:r w:rsidRPr="00FC506C">
        <w:rPr>
          <w:rFonts w:cstheme="minorHAnsi"/>
          <w:b/>
          <w:bCs/>
          <w:i/>
          <w:iCs/>
        </w:rPr>
        <w:t>Es necesario abordar los crecientes fenómenos de violencia pública, desmanes, alteración del orden</w:t>
      </w:r>
      <w:r w:rsidR="00FF169C">
        <w:rPr>
          <w:rFonts w:cstheme="minorHAnsi"/>
          <w:b/>
          <w:bCs/>
          <w:i/>
          <w:iCs/>
        </w:rPr>
        <w:t xml:space="preserve"> público</w:t>
      </w:r>
      <w:r w:rsidRPr="00FC506C">
        <w:rPr>
          <w:rFonts w:cstheme="minorHAnsi"/>
          <w:b/>
          <w:bCs/>
          <w:i/>
          <w:iCs/>
        </w:rPr>
        <w:t xml:space="preserve"> y destrucción de la propiedad</w:t>
      </w:r>
      <w:r w:rsidR="00D75DA6">
        <w:rPr>
          <w:rFonts w:cstheme="minorHAnsi"/>
          <w:b/>
          <w:bCs/>
          <w:i/>
          <w:iCs/>
        </w:rPr>
        <w:t xml:space="preserve"> tanto </w:t>
      </w:r>
      <w:proofErr w:type="gramStart"/>
      <w:r w:rsidR="00D75DA6">
        <w:rPr>
          <w:rFonts w:cstheme="minorHAnsi"/>
          <w:b/>
          <w:bCs/>
          <w:i/>
          <w:iCs/>
        </w:rPr>
        <w:t>pública</w:t>
      </w:r>
      <w:proofErr w:type="gramEnd"/>
      <w:r w:rsidR="00D75DA6">
        <w:rPr>
          <w:rFonts w:cstheme="minorHAnsi"/>
          <w:b/>
          <w:bCs/>
          <w:i/>
          <w:iCs/>
        </w:rPr>
        <w:t>, como privada</w:t>
      </w:r>
      <w:r w:rsidR="00494CDC" w:rsidRPr="00494CDC">
        <w:rPr>
          <w:rFonts w:cstheme="minorHAnsi"/>
          <w:b/>
          <w:bCs/>
        </w:rPr>
        <w:t>.</w:t>
      </w:r>
    </w:p>
    <w:p w:rsidR="00C25475" w:rsidRDefault="00C25475" w:rsidP="00C25475">
      <w:pPr>
        <w:spacing w:after="0" w:line="276" w:lineRule="auto"/>
        <w:jc w:val="both"/>
        <w:rPr>
          <w:rFonts w:cstheme="minorHAnsi"/>
        </w:rPr>
      </w:pPr>
    </w:p>
    <w:p w:rsidR="000868EC" w:rsidRDefault="000868EC" w:rsidP="00C25475">
      <w:pPr>
        <w:spacing w:after="0" w:line="276" w:lineRule="auto"/>
        <w:jc w:val="both"/>
        <w:rPr>
          <w:rFonts w:cstheme="minorHAnsi"/>
        </w:rPr>
      </w:pPr>
    </w:p>
    <w:p w:rsidR="00C25475" w:rsidRDefault="00C25475" w:rsidP="00C25475">
      <w:pPr>
        <w:spacing w:after="0" w:line="276" w:lineRule="auto"/>
        <w:ind w:firstLine="708"/>
        <w:jc w:val="both"/>
        <w:rPr>
          <w:rFonts w:cstheme="minorHAnsi"/>
        </w:rPr>
      </w:pPr>
      <w:r>
        <w:rPr>
          <w:rFonts w:cstheme="minorHAnsi"/>
        </w:rPr>
        <w:t>Es ineludible constatar que, desde hace un tiempo</w:t>
      </w:r>
      <w:r w:rsidR="00D84636">
        <w:rPr>
          <w:rFonts w:cstheme="minorHAnsi"/>
        </w:rPr>
        <w:t xml:space="preserve"> y</w:t>
      </w:r>
      <w:r>
        <w:rPr>
          <w:rFonts w:cstheme="minorHAnsi"/>
        </w:rPr>
        <w:t xml:space="preserve"> en todo el mundo, se han hecho recurrentes las manifestaciones sociales cruzadas por hechos de violencia, desmanes, grave alteración del orden público y destrucción de la propiedad.</w:t>
      </w:r>
    </w:p>
    <w:p w:rsidR="00D84636" w:rsidRDefault="00D84636" w:rsidP="00C25475">
      <w:pPr>
        <w:spacing w:after="0" w:line="276" w:lineRule="auto"/>
        <w:ind w:firstLine="708"/>
        <w:jc w:val="both"/>
        <w:rPr>
          <w:rFonts w:cstheme="minorHAnsi"/>
        </w:rPr>
      </w:pPr>
    </w:p>
    <w:p w:rsidR="00D84636" w:rsidRDefault="00D84636" w:rsidP="00C25475">
      <w:pPr>
        <w:spacing w:after="0" w:line="276" w:lineRule="auto"/>
        <w:ind w:firstLine="708"/>
        <w:jc w:val="both"/>
        <w:rPr>
          <w:rFonts w:cstheme="minorHAnsi"/>
        </w:rPr>
      </w:pPr>
      <w:r>
        <w:rPr>
          <w:rFonts w:cstheme="minorHAnsi"/>
        </w:rPr>
        <w:t xml:space="preserve">No siendo objeto analizar aquí la causa de este fenómeno social, es relevante hacerse cargo de las herramientas que permiten responder ante hechos </w:t>
      </w:r>
      <w:r w:rsidR="00FF169C">
        <w:rPr>
          <w:rFonts w:cstheme="minorHAnsi"/>
        </w:rPr>
        <w:t xml:space="preserve">como los que se señalan, destacando el valor del orden y de la realidad </w:t>
      </w:r>
      <w:r w:rsidR="00D310C0">
        <w:rPr>
          <w:rFonts w:cstheme="minorHAnsi"/>
        </w:rPr>
        <w:t>que nos demuestra que socavar</w:t>
      </w:r>
      <w:r w:rsidR="00357719">
        <w:rPr>
          <w:rFonts w:cstheme="minorHAnsi"/>
        </w:rPr>
        <w:t>lo</w:t>
      </w:r>
      <w:r w:rsidR="00D310C0">
        <w:rPr>
          <w:rFonts w:cstheme="minorHAnsi"/>
        </w:rPr>
        <w:t xml:space="preserve"> o perder</w:t>
      </w:r>
      <w:r w:rsidR="00357719">
        <w:rPr>
          <w:rFonts w:cstheme="minorHAnsi"/>
        </w:rPr>
        <w:t>lo</w:t>
      </w:r>
      <w:r w:rsidR="00D310C0">
        <w:rPr>
          <w:rFonts w:cstheme="minorHAnsi"/>
        </w:rPr>
        <w:t xml:space="preserve"> termina siempre por afectar a los más débiles y desprotegidos. </w:t>
      </w:r>
    </w:p>
    <w:p w:rsidR="00D96F23" w:rsidRDefault="00D96F23" w:rsidP="00C25475">
      <w:pPr>
        <w:spacing w:after="0" w:line="276" w:lineRule="auto"/>
        <w:ind w:firstLine="708"/>
        <w:jc w:val="both"/>
        <w:rPr>
          <w:rFonts w:cstheme="minorHAnsi"/>
        </w:rPr>
      </w:pPr>
    </w:p>
    <w:p w:rsidR="00D96F23" w:rsidRDefault="00D96F23" w:rsidP="00C25475">
      <w:pPr>
        <w:spacing w:after="0" w:line="276" w:lineRule="auto"/>
        <w:ind w:firstLine="708"/>
        <w:jc w:val="both"/>
        <w:rPr>
          <w:rFonts w:cstheme="minorHAnsi"/>
        </w:rPr>
      </w:pPr>
      <w:r>
        <w:rPr>
          <w:rFonts w:cstheme="minorHAnsi"/>
        </w:rPr>
        <w:t xml:space="preserve">En Chile, hemos asistido a maneras de protestar y de representar intereses desde la ciudadanía que, casi de manera inevitable, conllevan siempre esta clase de hechos, ya que albergan a grupos organizados que prefieren la violencia y la utilizan, así como dan pie a personas que, aun sin coordinación alguna, sostienen también estas conductas. Este fenómeno no es sólo local, sino que lo hemos podido ver </w:t>
      </w:r>
      <w:proofErr w:type="gramStart"/>
      <w:r>
        <w:rPr>
          <w:rFonts w:cstheme="minorHAnsi"/>
        </w:rPr>
        <w:t>también</w:t>
      </w:r>
      <w:proofErr w:type="gramEnd"/>
      <w:r>
        <w:rPr>
          <w:rFonts w:cstheme="minorHAnsi"/>
        </w:rPr>
        <w:t xml:space="preserve"> en otras latitudes como las protestas por el medioambiente en Europa, la reciente revuelta social “de los chalecos amarillos” en Francia o las protestas por diferencias étnico-culturales en China y Hong-Kong.</w:t>
      </w:r>
    </w:p>
    <w:p w:rsidR="00D96F23" w:rsidRDefault="00D96F23" w:rsidP="00C25475">
      <w:pPr>
        <w:spacing w:after="0" w:line="276" w:lineRule="auto"/>
        <w:ind w:firstLine="708"/>
        <w:jc w:val="both"/>
        <w:rPr>
          <w:rFonts w:cstheme="minorHAnsi"/>
        </w:rPr>
      </w:pPr>
    </w:p>
    <w:p w:rsidR="00D96F23" w:rsidRDefault="00D96F23" w:rsidP="00C25475">
      <w:pPr>
        <w:spacing w:after="0" w:line="276" w:lineRule="auto"/>
        <w:ind w:firstLine="708"/>
        <w:jc w:val="both"/>
        <w:rPr>
          <w:rFonts w:cstheme="minorHAnsi"/>
        </w:rPr>
      </w:pPr>
      <w:r>
        <w:rPr>
          <w:rFonts w:cstheme="minorHAnsi"/>
        </w:rPr>
        <w:t xml:space="preserve">Si es este un fenómeno que parece será persistente, abordar su aspecto de seguridad ciudadana, abogando por fortalecer la paz social y castigar efectiva y severamente a quienes prefieren delinquir por sobre manifestarse en respeto de los demás, contribuye exactamente en robustecer la democracia, proteger a los más débiles y justamente a quienes desean que su voz se escuche de manera no violenta. </w:t>
      </w:r>
    </w:p>
    <w:p w:rsidR="00D75DA6" w:rsidRDefault="00D75DA6" w:rsidP="00C25475">
      <w:pPr>
        <w:spacing w:after="0" w:line="276" w:lineRule="auto"/>
        <w:ind w:firstLine="708"/>
        <w:jc w:val="both"/>
        <w:rPr>
          <w:rFonts w:cstheme="minorHAnsi"/>
        </w:rPr>
      </w:pPr>
    </w:p>
    <w:p w:rsidR="000868EC" w:rsidRDefault="000868EC" w:rsidP="00C25475">
      <w:pPr>
        <w:spacing w:after="0" w:line="276" w:lineRule="auto"/>
        <w:ind w:firstLine="708"/>
        <w:jc w:val="both"/>
        <w:rPr>
          <w:rFonts w:cstheme="minorHAnsi"/>
        </w:rPr>
      </w:pPr>
    </w:p>
    <w:p w:rsidR="00D75DA6" w:rsidRPr="00D310C0" w:rsidRDefault="00D75DA6" w:rsidP="00D75DA6">
      <w:pPr>
        <w:pStyle w:val="Prrafodelista"/>
        <w:numPr>
          <w:ilvl w:val="0"/>
          <w:numId w:val="24"/>
        </w:numPr>
        <w:spacing w:after="0" w:line="276" w:lineRule="auto"/>
        <w:jc w:val="both"/>
        <w:rPr>
          <w:rFonts w:cstheme="minorHAnsi"/>
        </w:rPr>
      </w:pPr>
      <w:r>
        <w:rPr>
          <w:rFonts w:cstheme="minorHAnsi"/>
          <w:b/>
          <w:bCs/>
          <w:i/>
          <w:iCs/>
        </w:rPr>
        <w:t>La actual herramienta jurídica contenida en el artículo 269 del Código Penal es insuficiente y se encuentra desactualizada para permitir una efectiva persecución penal</w:t>
      </w:r>
      <w:r w:rsidR="00494CDC">
        <w:rPr>
          <w:rFonts w:cstheme="minorHAnsi"/>
          <w:b/>
          <w:bCs/>
        </w:rPr>
        <w:t xml:space="preserve"> </w:t>
      </w:r>
      <w:r w:rsidR="00494CDC">
        <w:rPr>
          <w:rFonts w:cstheme="minorHAnsi"/>
          <w:b/>
          <w:bCs/>
          <w:i/>
          <w:iCs/>
        </w:rPr>
        <w:t>de los desmanes y desórdenes públicos</w:t>
      </w:r>
      <w:r w:rsidR="00494CDC">
        <w:rPr>
          <w:rFonts w:cstheme="minorHAnsi"/>
          <w:b/>
          <w:bCs/>
        </w:rPr>
        <w:t>.</w:t>
      </w:r>
      <w:r>
        <w:rPr>
          <w:rFonts w:cstheme="minorHAnsi"/>
          <w:b/>
          <w:bCs/>
          <w:i/>
          <w:iCs/>
        </w:rPr>
        <w:t xml:space="preserve"> </w:t>
      </w:r>
    </w:p>
    <w:p w:rsidR="00D310C0" w:rsidRDefault="00D310C0" w:rsidP="00D310C0">
      <w:pPr>
        <w:spacing w:after="0" w:line="276" w:lineRule="auto"/>
        <w:jc w:val="both"/>
        <w:rPr>
          <w:rFonts w:cstheme="minorHAnsi"/>
        </w:rPr>
      </w:pPr>
    </w:p>
    <w:p w:rsidR="000868EC" w:rsidRDefault="000868EC" w:rsidP="00D310C0">
      <w:pPr>
        <w:spacing w:after="0" w:line="276" w:lineRule="auto"/>
        <w:jc w:val="both"/>
        <w:rPr>
          <w:rFonts w:cstheme="minorHAnsi"/>
        </w:rPr>
      </w:pPr>
    </w:p>
    <w:p w:rsidR="00D310C0" w:rsidRDefault="00D310C0" w:rsidP="00D310C0">
      <w:pPr>
        <w:spacing w:after="0" w:line="276" w:lineRule="auto"/>
        <w:ind w:firstLine="708"/>
        <w:jc w:val="both"/>
        <w:rPr>
          <w:rFonts w:cstheme="minorHAnsi"/>
        </w:rPr>
      </w:pPr>
      <w:r>
        <w:rPr>
          <w:rFonts w:cstheme="minorHAnsi"/>
        </w:rPr>
        <w:t xml:space="preserve">La reacción penal ante hechos como a los que se ha aludido, trae aparejada diversas dificultades que entorpecen la aprehensión policial, la investigación y </w:t>
      </w:r>
      <w:r w:rsidR="00494CDC">
        <w:rPr>
          <w:rFonts w:cstheme="minorHAnsi"/>
        </w:rPr>
        <w:t xml:space="preserve">el </w:t>
      </w:r>
      <w:r>
        <w:rPr>
          <w:rFonts w:cstheme="minorHAnsi"/>
        </w:rPr>
        <w:t xml:space="preserve">esclarecimiento de los hechos, así como la persecución de la responsabilidad penal que entrañan, </w:t>
      </w:r>
      <w:r w:rsidR="00357719">
        <w:rPr>
          <w:rFonts w:cstheme="minorHAnsi"/>
        </w:rPr>
        <w:t>produciéndose</w:t>
      </w:r>
      <w:r>
        <w:rPr>
          <w:rFonts w:cstheme="minorHAnsi"/>
        </w:rPr>
        <w:t xml:space="preserve"> como consecuencia final la impunidad para los malhechores y una generalizada sensación de temor y desamparo en la población. </w:t>
      </w:r>
    </w:p>
    <w:p w:rsidR="00D310C0" w:rsidRDefault="00D310C0" w:rsidP="00D310C0">
      <w:pPr>
        <w:spacing w:after="0" w:line="276" w:lineRule="auto"/>
        <w:ind w:firstLine="708"/>
        <w:jc w:val="both"/>
        <w:rPr>
          <w:rFonts w:cstheme="minorHAnsi"/>
        </w:rPr>
      </w:pPr>
    </w:p>
    <w:p w:rsidR="00D96F23" w:rsidRDefault="00D310C0" w:rsidP="00D310C0">
      <w:pPr>
        <w:spacing w:after="0" w:line="276" w:lineRule="auto"/>
        <w:ind w:firstLine="708"/>
        <w:jc w:val="both"/>
        <w:rPr>
          <w:rFonts w:cstheme="minorHAnsi"/>
        </w:rPr>
      </w:pPr>
      <w:r>
        <w:rPr>
          <w:rFonts w:cstheme="minorHAnsi"/>
        </w:rPr>
        <w:t xml:space="preserve">Efectivamente, el actual artículo 269 del Código Penal presenta, como todo el cuerpo legal que lo contiene, una notoria desactualización en relación con los hechos que busca sustentar. El tipo penal plantea complejos requisitos para poder imputar responsabilidad criminal a una persona a título de desórdenes públicos. </w:t>
      </w:r>
    </w:p>
    <w:p w:rsidR="00D96F23" w:rsidRDefault="00D96F23" w:rsidP="00D310C0">
      <w:pPr>
        <w:spacing w:after="0" w:line="276" w:lineRule="auto"/>
        <w:ind w:firstLine="708"/>
        <w:jc w:val="both"/>
        <w:rPr>
          <w:rFonts w:cstheme="minorHAnsi"/>
        </w:rPr>
      </w:pPr>
    </w:p>
    <w:p w:rsidR="00494CDC" w:rsidRDefault="00D310C0" w:rsidP="00D310C0">
      <w:pPr>
        <w:spacing w:after="0" w:line="276" w:lineRule="auto"/>
        <w:ind w:firstLine="708"/>
        <w:jc w:val="both"/>
        <w:rPr>
          <w:rFonts w:cstheme="minorHAnsi"/>
        </w:rPr>
      </w:pPr>
      <w:r>
        <w:rPr>
          <w:rFonts w:cstheme="minorHAnsi"/>
        </w:rPr>
        <w:t>En primer lugar, se requiere que los desmanes “turben gravemente la tranquilidad pública” y</w:t>
      </w:r>
      <w:r w:rsidR="00494CDC">
        <w:rPr>
          <w:rFonts w:cstheme="minorHAnsi"/>
        </w:rPr>
        <w:t>, además, que</w:t>
      </w:r>
      <w:r>
        <w:rPr>
          <w:rFonts w:cstheme="minorHAnsi"/>
        </w:rPr>
        <w:t xml:space="preserve"> vayan encaminados a </w:t>
      </w:r>
      <w:r w:rsidR="00494CDC">
        <w:rPr>
          <w:rFonts w:cstheme="minorHAnsi"/>
        </w:rPr>
        <w:t>“</w:t>
      </w:r>
      <w:r>
        <w:rPr>
          <w:rFonts w:cstheme="minorHAnsi"/>
        </w:rPr>
        <w:t>provocar injuria a una persona particular</w:t>
      </w:r>
      <w:r w:rsidR="00494CDC">
        <w:rPr>
          <w:rFonts w:cstheme="minorHAnsi"/>
        </w:rPr>
        <w:t>”</w:t>
      </w:r>
      <w:r w:rsidR="00060162" w:rsidRPr="00060162">
        <w:rPr>
          <w:rFonts w:cstheme="minorHAnsi"/>
        </w:rPr>
        <w:t xml:space="preserve"> </w:t>
      </w:r>
      <w:r w:rsidR="00060162">
        <w:rPr>
          <w:rFonts w:cstheme="minorHAnsi"/>
        </w:rPr>
        <w:t>o lograr “cualquier otro fin reprobado”</w:t>
      </w:r>
      <w:r w:rsidR="00060162">
        <w:rPr>
          <w:rStyle w:val="Refdenotaalpie"/>
          <w:rFonts w:cstheme="minorHAnsi"/>
        </w:rPr>
        <w:footnoteReference w:id="1"/>
      </w:r>
      <w:r w:rsidR="00060162">
        <w:rPr>
          <w:rFonts w:cstheme="minorHAnsi"/>
        </w:rPr>
        <w:t xml:space="preserve"> </w:t>
      </w:r>
    </w:p>
    <w:p w:rsidR="00494CDC" w:rsidRDefault="00494CDC" w:rsidP="00D310C0">
      <w:pPr>
        <w:spacing w:after="0" w:line="276" w:lineRule="auto"/>
        <w:ind w:firstLine="708"/>
        <w:jc w:val="both"/>
        <w:rPr>
          <w:rFonts w:cstheme="minorHAnsi"/>
        </w:rPr>
      </w:pPr>
    </w:p>
    <w:p w:rsidR="000868EC" w:rsidRDefault="00494CDC" w:rsidP="00D310C0">
      <w:pPr>
        <w:spacing w:after="0" w:line="276" w:lineRule="auto"/>
        <w:ind w:firstLine="708"/>
        <w:jc w:val="both"/>
        <w:rPr>
          <w:rFonts w:cstheme="minorHAnsi"/>
        </w:rPr>
      </w:pPr>
      <w:r>
        <w:rPr>
          <w:rFonts w:cstheme="minorHAnsi"/>
        </w:rPr>
        <w:t xml:space="preserve">De la interpretación del tipo penal y de su contraste con la constatación empírica de los hechos que pretende abarcar, se extrae lo complejo de calificar como perturbación grave de la tranquilidad actos como los desmanes, </w:t>
      </w:r>
      <w:r w:rsidR="00357719">
        <w:rPr>
          <w:rFonts w:cstheme="minorHAnsi"/>
        </w:rPr>
        <w:t xml:space="preserve">la </w:t>
      </w:r>
      <w:r>
        <w:rPr>
          <w:rFonts w:cstheme="minorHAnsi"/>
        </w:rPr>
        <w:t>destrucción del mobiliario público y hasta eventualmente los saqueos, puesto que estos hechos</w:t>
      </w:r>
      <w:r w:rsidR="00357719">
        <w:rPr>
          <w:rFonts w:cstheme="minorHAnsi"/>
        </w:rPr>
        <w:t>,</w:t>
      </w:r>
      <w:r>
        <w:rPr>
          <w:rFonts w:cstheme="minorHAnsi"/>
        </w:rPr>
        <w:t xml:space="preserve"> mirados en sí mismos</w:t>
      </w:r>
      <w:r w:rsidR="00357719">
        <w:rPr>
          <w:rFonts w:cstheme="minorHAnsi"/>
        </w:rPr>
        <w:t>,</w:t>
      </w:r>
      <w:r>
        <w:rPr>
          <w:rFonts w:cstheme="minorHAnsi"/>
        </w:rPr>
        <w:t xml:space="preserve"> sólo afectan a un punto público o bien privado en específico. Al mismo tiempo, la complejidad, las grandes </w:t>
      </w:r>
      <w:r w:rsidR="00357719">
        <w:rPr>
          <w:rFonts w:cstheme="minorHAnsi"/>
        </w:rPr>
        <w:t>dimensiones</w:t>
      </w:r>
      <w:r>
        <w:rPr>
          <w:rFonts w:cstheme="minorHAnsi"/>
        </w:rPr>
        <w:t xml:space="preserve"> y la interconexión de las urbes modernas, tienden a diluir la posibilidad de que un foco de violencia determinado termine por afectar de manera grave la tranquilidad común. Asimismo, el requisito de que el delito busque causar injuria a una persona determinada </w:t>
      </w:r>
      <w:r w:rsidR="00AF06D1">
        <w:rPr>
          <w:rFonts w:cstheme="minorHAnsi"/>
        </w:rPr>
        <w:t>u otro fin reprobado</w:t>
      </w:r>
      <w:r w:rsidR="00357719">
        <w:rPr>
          <w:rFonts w:cstheme="minorHAnsi"/>
        </w:rPr>
        <w:t>,</w:t>
      </w:r>
      <w:r w:rsidR="00AF06D1">
        <w:rPr>
          <w:rFonts w:cstheme="minorHAnsi"/>
        </w:rPr>
        <w:t xml:space="preserve"> desconocen el real desvalor de la conducta, que es afectar la paz social en general. Claro está, resulta en gran medida contraproducente haberse establecido en este delito una sanción para actos que generalmente son masivos o concertados, pero que exigen una afectación particular específica, máxim</w:t>
      </w:r>
      <w:r w:rsidR="00357719">
        <w:rPr>
          <w:rFonts w:cstheme="minorHAnsi"/>
        </w:rPr>
        <w:t>e</w:t>
      </w:r>
      <w:r w:rsidR="00AF06D1">
        <w:rPr>
          <w:rFonts w:cstheme="minorHAnsi"/>
        </w:rPr>
        <w:t xml:space="preserve"> si esta última pudiese subsumirse en un tipo penal distinto según la gravedad del ataque que haya sufrido dicho particular: lesiones, daños, robos u otra clase de ilícitos. </w:t>
      </w:r>
      <w:r w:rsidR="000868EC">
        <w:rPr>
          <w:rFonts w:cstheme="minorHAnsi"/>
        </w:rPr>
        <w:t>En la gran generalidad de los casos, por lo demás, los hechos vulneran la propiedad y no necesariamente la integridad de personas en específico.</w:t>
      </w:r>
    </w:p>
    <w:p w:rsidR="000868EC" w:rsidRDefault="000868EC" w:rsidP="00D310C0">
      <w:pPr>
        <w:spacing w:after="0" w:line="276" w:lineRule="auto"/>
        <w:ind w:firstLine="708"/>
        <w:jc w:val="both"/>
        <w:rPr>
          <w:rFonts w:cstheme="minorHAnsi"/>
        </w:rPr>
      </w:pPr>
    </w:p>
    <w:p w:rsidR="00D310C0" w:rsidRDefault="00AF06D1" w:rsidP="00D310C0">
      <w:pPr>
        <w:spacing w:after="0" w:line="276" w:lineRule="auto"/>
        <w:ind w:firstLine="708"/>
        <w:jc w:val="both"/>
        <w:rPr>
          <w:rFonts w:cstheme="minorHAnsi"/>
        </w:rPr>
      </w:pPr>
      <w:r>
        <w:rPr>
          <w:rFonts w:cstheme="minorHAnsi"/>
        </w:rPr>
        <w:t xml:space="preserve">Por su parte, el que la conducta persiga “cualquier otro fin reprobado” coloca en la situación y </w:t>
      </w:r>
      <w:r w:rsidR="00357719">
        <w:rPr>
          <w:rFonts w:cstheme="minorHAnsi"/>
        </w:rPr>
        <w:t xml:space="preserve">en la </w:t>
      </w:r>
      <w:r>
        <w:rPr>
          <w:rFonts w:cstheme="minorHAnsi"/>
        </w:rPr>
        <w:t xml:space="preserve">necesidad de probar la idoneidad de la conducta para concretar un </w:t>
      </w:r>
      <w:r w:rsidR="00357719">
        <w:rPr>
          <w:rFonts w:cstheme="minorHAnsi"/>
        </w:rPr>
        <w:t xml:space="preserve">fin </w:t>
      </w:r>
      <w:r>
        <w:rPr>
          <w:rFonts w:cstheme="minorHAnsi"/>
        </w:rPr>
        <w:t>ilícito</w:t>
      </w:r>
      <w:r w:rsidR="00357719">
        <w:rPr>
          <w:rFonts w:cstheme="minorHAnsi"/>
        </w:rPr>
        <w:t xml:space="preserve">, lo que configura una descripción penal “en blanco” (que debe complementarse con otras normas que califiquen el fin como ilegal) y cuya utilización </w:t>
      </w:r>
      <w:r w:rsidR="00D96F23">
        <w:rPr>
          <w:rFonts w:cstheme="minorHAnsi"/>
        </w:rPr>
        <w:t xml:space="preserve">punitiva puede resultar cuestionable. </w:t>
      </w:r>
    </w:p>
    <w:p w:rsidR="00D96F23" w:rsidRDefault="00D96F23" w:rsidP="00D310C0">
      <w:pPr>
        <w:spacing w:after="0" w:line="276" w:lineRule="auto"/>
        <w:ind w:firstLine="708"/>
        <w:jc w:val="both"/>
        <w:rPr>
          <w:rFonts w:cstheme="minorHAnsi"/>
        </w:rPr>
      </w:pPr>
    </w:p>
    <w:p w:rsidR="00D96F23" w:rsidRDefault="00D96F23" w:rsidP="00D310C0">
      <w:pPr>
        <w:spacing w:after="0" w:line="276" w:lineRule="auto"/>
        <w:ind w:firstLine="708"/>
        <w:jc w:val="both"/>
        <w:rPr>
          <w:rFonts w:cstheme="minorHAnsi"/>
        </w:rPr>
      </w:pPr>
      <w:r>
        <w:rPr>
          <w:rFonts w:cstheme="minorHAnsi"/>
        </w:rPr>
        <w:t>Estas complejidades de la norma penal sobre desórdenes públicos, produce consecuencias prácticas no deseadas</w:t>
      </w:r>
      <w:r w:rsidR="000868EC">
        <w:rPr>
          <w:rFonts w:cstheme="minorHAnsi"/>
        </w:rPr>
        <w:t xml:space="preserve"> y que no van en sintonía con el fin que se señaló en el punto anterior: fortalecer la democracia y la seguridad en un contexto que posibilite la expresión y canalización de las demandas ciudadanas</w:t>
      </w:r>
      <w:r>
        <w:rPr>
          <w:rFonts w:cstheme="minorHAnsi"/>
        </w:rPr>
        <w:t xml:space="preserve">, ya que dificulta la labor del órgano encargado de la persecución penal (el Ministerio Público) y tiende a evitar el desgaste policial en aprehender a los delincuentes en aquellos contextos en donde la situación de turba y grave desorden exige grandes esfuerzos al accionar policial. </w:t>
      </w:r>
      <w:r w:rsidR="000868EC">
        <w:rPr>
          <w:rFonts w:cstheme="minorHAnsi"/>
        </w:rPr>
        <w:t xml:space="preserve">Evidentemente, si la norma que sanciona estos hechos es casi inaplicable, de nada sirve el trabajo policial y persecutor, tanto preventivo, como represivo ante los mismos. </w:t>
      </w:r>
    </w:p>
    <w:p w:rsidR="000868EC" w:rsidRDefault="000868EC" w:rsidP="00D310C0">
      <w:pPr>
        <w:spacing w:after="0" w:line="276" w:lineRule="auto"/>
        <w:ind w:firstLine="708"/>
        <w:jc w:val="both"/>
        <w:rPr>
          <w:rFonts w:cstheme="minorHAnsi"/>
        </w:rPr>
      </w:pPr>
    </w:p>
    <w:p w:rsidR="000868EC" w:rsidRDefault="000868EC" w:rsidP="00D310C0">
      <w:pPr>
        <w:spacing w:after="0" w:line="276" w:lineRule="auto"/>
        <w:ind w:firstLine="708"/>
        <w:jc w:val="both"/>
        <w:rPr>
          <w:rFonts w:cstheme="minorHAnsi"/>
        </w:rPr>
      </w:pPr>
      <w:r>
        <w:rPr>
          <w:rFonts w:cstheme="minorHAnsi"/>
        </w:rPr>
        <w:t xml:space="preserve">Finalmente, la pena que el Código Penal asocia a estos hechos (reclusión menor en su grado mínimo, esto es, de 61 a 540 días) no se encuentra en proporción y en relación con la gravedad de los ilícitos de desmanes, desórdenes y/o destrucción, ya que estos, en último término, afectan bienes comunes circunscritos a la seguridad ciudadana, de manera mucho más gravosa que los daños particulares que se puedan ocasionar. </w:t>
      </w:r>
    </w:p>
    <w:p w:rsidR="000868EC" w:rsidRDefault="000868EC" w:rsidP="000868EC">
      <w:pPr>
        <w:spacing w:after="0" w:line="276" w:lineRule="auto"/>
        <w:jc w:val="both"/>
        <w:rPr>
          <w:rFonts w:cstheme="minorHAnsi"/>
        </w:rPr>
      </w:pPr>
    </w:p>
    <w:p w:rsidR="000868EC" w:rsidRDefault="000868EC" w:rsidP="000868EC">
      <w:pPr>
        <w:spacing w:after="0" w:line="276" w:lineRule="auto"/>
        <w:jc w:val="both"/>
        <w:rPr>
          <w:rFonts w:cstheme="minorHAnsi"/>
        </w:rPr>
      </w:pPr>
    </w:p>
    <w:p w:rsidR="000868EC" w:rsidRDefault="000868EC" w:rsidP="000868EC">
      <w:pPr>
        <w:pStyle w:val="Prrafodelista"/>
        <w:numPr>
          <w:ilvl w:val="0"/>
          <w:numId w:val="24"/>
        </w:numPr>
        <w:spacing w:after="0" w:line="276" w:lineRule="auto"/>
        <w:jc w:val="both"/>
        <w:rPr>
          <w:rFonts w:cstheme="minorHAnsi"/>
          <w:b/>
          <w:bCs/>
          <w:i/>
          <w:iCs/>
        </w:rPr>
      </w:pPr>
      <w:r w:rsidRPr="000868EC">
        <w:rPr>
          <w:rFonts w:cstheme="minorHAnsi"/>
          <w:b/>
          <w:bCs/>
          <w:i/>
          <w:iCs/>
        </w:rPr>
        <w:t xml:space="preserve">Contenido de la propuesta: actualizar la tipificación del delito de desórdenes públicos, aumentando la penalidad de tal conducta. </w:t>
      </w:r>
    </w:p>
    <w:p w:rsidR="00156A1D" w:rsidRDefault="00156A1D" w:rsidP="00156A1D">
      <w:pPr>
        <w:spacing w:after="0" w:line="276" w:lineRule="auto"/>
        <w:jc w:val="both"/>
        <w:rPr>
          <w:rFonts w:cstheme="minorHAnsi"/>
          <w:b/>
          <w:bCs/>
          <w:i/>
          <w:iCs/>
        </w:rPr>
      </w:pPr>
    </w:p>
    <w:p w:rsidR="00156A1D" w:rsidRDefault="00156A1D" w:rsidP="00156A1D">
      <w:pPr>
        <w:spacing w:after="0" w:line="276" w:lineRule="auto"/>
        <w:jc w:val="both"/>
        <w:rPr>
          <w:rFonts w:cstheme="minorHAnsi"/>
          <w:b/>
          <w:bCs/>
          <w:i/>
          <w:iCs/>
        </w:rPr>
      </w:pPr>
    </w:p>
    <w:p w:rsidR="00156A1D" w:rsidRDefault="00156A1D" w:rsidP="00156A1D">
      <w:pPr>
        <w:spacing w:after="0" w:line="276" w:lineRule="auto"/>
        <w:ind w:firstLine="708"/>
        <w:jc w:val="both"/>
        <w:rPr>
          <w:rFonts w:cstheme="minorHAnsi"/>
        </w:rPr>
      </w:pPr>
      <w:r>
        <w:rPr>
          <w:rFonts w:cstheme="minorHAnsi"/>
        </w:rPr>
        <w:t>Se propone actualizar la redacción del tipo penal de desórdenes públicos, acentuando o relevando la verificación actual de esta clase de hechos. Se plantea una pena de presidio menor en su grado medio (de 541 días a 3 años) y que la misma se aplique sin perjuicio del cúmulo de otras que también fueren aplicables.</w:t>
      </w:r>
    </w:p>
    <w:p w:rsidR="00156A1D" w:rsidRDefault="00156A1D" w:rsidP="00156A1D">
      <w:pPr>
        <w:spacing w:after="0" w:line="276" w:lineRule="auto"/>
        <w:ind w:firstLine="708"/>
        <w:jc w:val="both"/>
        <w:rPr>
          <w:rFonts w:cstheme="minorHAnsi"/>
        </w:rPr>
      </w:pPr>
    </w:p>
    <w:p w:rsidR="00156A1D" w:rsidRDefault="00156A1D" w:rsidP="00156A1D">
      <w:pPr>
        <w:spacing w:after="0" w:line="276" w:lineRule="auto"/>
        <w:ind w:firstLine="708"/>
        <w:jc w:val="both"/>
        <w:rPr>
          <w:rFonts w:cstheme="minorHAnsi"/>
        </w:rPr>
      </w:pPr>
      <w:r>
        <w:rPr>
          <w:rFonts w:cstheme="minorHAnsi"/>
        </w:rPr>
        <w:t>Asimismo, se propone crear figuras especialmente calificadas de este hecho, asociadas a una pena superior de presidio menor en su grado máximo</w:t>
      </w:r>
      <w:r w:rsidR="003802DC">
        <w:rPr>
          <w:rFonts w:cstheme="minorHAnsi"/>
        </w:rPr>
        <w:t xml:space="preserve"> a presidio mayor en su grado mínimo</w:t>
      </w:r>
      <w:r>
        <w:rPr>
          <w:rFonts w:cstheme="minorHAnsi"/>
        </w:rPr>
        <w:t>, las que están caracterizadas por los actos de violencia o daños que engloban, tal como se describen en el nuevo tipo penal.</w:t>
      </w:r>
    </w:p>
    <w:p w:rsidR="00156A1D" w:rsidRDefault="00156A1D" w:rsidP="00156A1D">
      <w:pPr>
        <w:spacing w:after="0" w:line="276" w:lineRule="auto"/>
        <w:ind w:firstLine="708"/>
        <w:jc w:val="both"/>
        <w:rPr>
          <w:rFonts w:cstheme="minorHAnsi"/>
        </w:rPr>
      </w:pPr>
    </w:p>
    <w:p w:rsidR="00156A1D" w:rsidRPr="00156A1D" w:rsidRDefault="00156A1D" w:rsidP="00156A1D">
      <w:pPr>
        <w:spacing w:after="0" w:line="276" w:lineRule="auto"/>
        <w:ind w:firstLine="708"/>
        <w:jc w:val="both"/>
        <w:rPr>
          <w:rFonts w:cstheme="minorHAnsi"/>
        </w:rPr>
      </w:pPr>
      <w:r>
        <w:rPr>
          <w:rFonts w:cstheme="minorHAnsi"/>
        </w:rPr>
        <w:t>Para lo anterior, en una perspectiva de derecho comparado, se toma como ejemplo la legislación penal española y la evolución que respecto del mismo tema ha presentado.</w:t>
      </w:r>
    </w:p>
    <w:p w:rsidR="00494CDC" w:rsidRPr="00D310C0" w:rsidRDefault="00494CDC" w:rsidP="00D310C0">
      <w:pPr>
        <w:spacing w:after="0" w:line="276" w:lineRule="auto"/>
        <w:ind w:firstLine="708"/>
        <w:jc w:val="both"/>
        <w:rPr>
          <w:rFonts w:cstheme="minorHAnsi"/>
        </w:rPr>
      </w:pPr>
    </w:p>
    <w:p w:rsidR="003C5DB0" w:rsidRDefault="003C5DB0">
      <w:pPr>
        <w:rPr>
          <w:rFonts w:cstheme="minorHAnsi"/>
        </w:rPr>
      </w:pPr>
      <w:r>
        <w:rPr>
          <w:rFonts w:cstheme="minorHAnsi"/>
        </w:rPr>
        <w:br w:type="page"/>
      </w:r>
    </w:p>
    <w:p w:rsidR="008F3B55" w:rsidRPr="008F3B55" w:rsidRDefault="008F3B55" w:rsidP="003F7BF4">
      <w:pPr>
        <w:spacing w:after="0" w:line="276" w:lineRule="auto"/>
        <w:jc w:val="both"/>
        <w:rPr>
          <w:rFonts w:cstheme="minorHAnsi"/>
        </w:rPr>
      </w:pPr>
    </w:p>
    <w:p w:rsidR="00C73B48" w:rsidRDefault="00C73B48" w:rsidP="00C73B48">
      <w:pPr>
        <w:spacing w:after="0" w:line="276" w:lineRule="auto"/>
        <w:jc w:val="center"/>
        <w:rPr>
          <w:rFonts w:cstheme="minorHAnsi"/>
          <w:smallCaps/>
          <w:u w:val="single"/>
        </w:rPr>
      </w:pPr>
      <w:r w:rsidRPr="00D7143A">
        <w:rPr>
          <w:rFonts w:cstheme="minorHAnsi"/>
          <w:smallCaps/>
          <w:u w:val="single"/>
        </w:rPr>
        <w:t>Idea Matriz</w:t>
      </w:r>
    </w:p>
    <w:p w:rsidR="00720925" w:rsidRDefault="00720925" w:rsidP="00C73B48">
      <w:pPr>
        <w:spacing w:after="0" w:line="276" w:lineRule="auto"/>
        <w:jc w:val="center"/>
        <w:rPr>
          <w:rFonts w:cstheme="minorHAnsi"/>
          <w:smallCaps/>
          <w:u w:val="single"/>
        </w:rPr>
      </w:pPr>
    </w:p>
    <w:p w:rsidR="000868EC" w:rsidRDefault="000868EC" w:rsidP="00C73B48">
      <w:pPr>
        <w:spacing w:after="0" w:line="276" w:lineRule="auto"/>
        <w:jc w:val="center"/>
        <w:rPr>
          <w:rFonts w:cstheme="minorHAnsi"/>
          <w:smallCaps/>
          <w:u w:val="single"/>
        </w:rPr>
      </w:pPr>
    </w:p>
    <w:p w:rsidR="000868EC" w:rsidRPr="00156A1D" w:rsidRDefault="00720925" w:rsidP="00C73B48">
      <w:pPr>
        <w:spacing w:after="0" w:line="276" w:lineRule="auto"/>
        <w:jc w:val="both"/>
        <w:rPr>
          <w:rFonts w:cstheme="minorHAnsi"/>
        </w:rPr>
      </w:pPr>
      <w:r>
        <w:rPr>
          <w:rFonts w:cstheme="minorHAnsi"/>
          <w:smallCaps/>
        </w:rPr>
        <w:tab/>
      </w:r>
      <w:r w:rsidRPr="00720925">
        <w:rPr>
          <w:rFonts w:cstheme="minorHAnsi"/>
        </w:rPr>
        <w:t>El presente proyecto modifica el Código Penal con el objeto de tipificar el delito de desórdenes públicos agravados.</w:t>
      </w:r>
    </w:p>
    <w:p w:rsidR="003D6D58" w:rsidRDefault="00C73B48" w:rsidP="004643A6">
      <w:pPr>
        <w:spacing w:after="0" w:line="276" w:lineRule="auto"/>
        <w:jc w:val="center"/>
        <w:rPr>
          <w:rFonts w:cstheme="minorHAnsi"/>
          <w:smallCaps/>
          <w:u w:val="single"/>
        </w:rPr>
      </w:pPr>
      <w:r w:rsidRPr="00D7143A">
        <w:rPr>
          <w:rFonts w:cstheme="minorHAnsi"/>
          <w:smallCaps/>
          <w:u w:val="single"/>
        </w:rPr>
        <w:t>Normativa legal vigente afectada por el proyecto</w:t>
      </w:r>
    </w:p>
    <w:p w:rsidR="00720925" w:rsidRDefault="00720925" w:rsidP="004643A6">
      <w:pPr>
        <w:spacing w:after="0" w:line="276" w:lineRule="auto"/>
        <w:jc w:val="center"/>
        <w:rPr>
          <w:rFonts w:cstheme="minorHAnsi"/>
          <w:smallCaps/>
          <w:u w:val="single"/>
        </w:rPr>
      </w:pPr>
    </w:p>
    <w:p w:rsidR="000868EC" w:rsidRDefault="000868EC" w:rsidP="004643A6">
      <w:pPr>
        <w:spacing w:after="0" w:line="276" w:lineRule="auto"/>
        <w:jc w:val="center"/>
        <w:rPr>
          <w:rFonts w:cstheme="minorHAnsi"/>
          <w:smallCaps/>
          <w:u w:val="single"/>
        </w:rPr>
      </w:pPr>
    </w:p>
    <w:p w:rsidR="00720925" w:rsidRPr="00720925" w:rsidRDefault="00720925" w:rsidP="004643A6">
      <w:pPr>
        <w:spacing w:after="0" w:line="276" w:lineRule="auto"/>
        <w:jc w:val="center"/>
        <w:rPr>
          <w:rFonts w:cstheme="minorHAnsi"/>
        </w:rPr>
      </w:pPr>
      <w:r w:rsidRPr="00720925">
        <w:rPr>
          <w:rFonts w:cstheme="minorHAnsi"/>
        </w:rPr>
        <w:t>Código Penal</w:t>
      </w:r>
    </w:p>
    <w:p w:rsidR="00554721" w:rsidRDefault="00554721" w:rsidP="004643A6">
      <w:pPr>
        <w:spacing w:after="0" w:line="276" w:lineRule="auto"/>
        <w:rPr>
          <w:rFonts w:cstheme="minorHAnsi"/>
        </w:rPr>
      </w:pPr>
    </w:p>
    <w:p w:rsidR="000868EC" w:rsidRPr="00D7143A" w:rsidRDefault="000868EC" w:rsidP="004643A6">
      <w:pPr>
        <w:spacing w:after="0" w:line="276" w:lineRule="auto"/>
        <w:rPr>
          <w:rFonts w:cstheme="minorHAnsi"/>
        </w:rPr>
      </w:pPr>
    </w:p>
    <w:p w:rsidR="007F21AA" w:rsidRDefault="00332504" w:rsidP="00DE54D3">
      <w:pPr>
        <w:spacing w:after="0" w:line="276" w:lineRule="auto"/>
        <w:jc w:val="center"/>
        <w:rPr>
          <w:rFonts w:cstheme="minorHAnsi"/>
          <w:smallCaps/>
          <w:u w:val="single"/>
        </w:rPr>
      </w:pPr>
      <w:r w:rsidRPr="00D7143A">
        <w:rPr>
          <w:rFonts w:cstheme="minorHAnsi"/>
          <w:smallCaps/>
          <w:u w:val="single"/>
        </w:rPr>
        <w:t>Proyecto de Le</w:t>
      </w:r>
      <w:r w:rsidR="00DE54D3" w:rsidRPr="00D7143A">
        <w:rPr>
          <w:rFonts w:cstheme="minorHAnsi"/>
          <w:smallCaps/>
          <w:u w:val="single"/>
        </w:rPr>
        <w:t>y</w:t>
      </w:r>
    </w:p>
    <w:p w:rsidR="000868EC" w:rsidRDefault="000868EC" w:rsidP="00DE54D3">
      <w:pPr>
        <w:spacing w:after="0" w:line="276" w:lineRule="auto"/>
        <w:jc w:val="center"/>
        <w:rPr>
          <w:rFonts w:cstheme="minorHAnsi"/>
          <w:smallCaps/>
          <w:u w:val="single"/>
        </w:rPr>
      </w:pPr>
    </w:p>
    <w:p w:rsidR="000868EC" w:rsidRDefault="000868EC" w:rsidP="00DE54D3">
      <w:pPr>
        <w:spacing w:after="0" w:line="276" w:lineRule="auto"/>
        <w:jc w:val="center"/>
        <w:rPr>
          <w:rFonts w:cstheme="minorHAnsi"/>
          <w:smallCaps/>
          <w:u w:val="single"/>
        </w:rPr>
      </w:pPr>
    </w:p>
    <w:p w:rsidR="000868EC" w:rsidRPr="000868EC" w:rsidRDefault="000868EC" w:rsidP="000868EC">
      <w:pPr>
        <w:spacing w:after="0" w:line="276" w:lineRule="auto"/>
        <w:jc w:val="both"/>
        <w:rPr>
          <w:rFonts w:cstheme="minorHAnsi"/>
        </w:rPr>
      </w:pPr>
      <w:r>
        <w:rPr>
          <w:rFonts w:cstheme="minorHAnsi"/>
          <w:b/>
          <w:bCs/>
          <w:smallCaps/>
          <w:u w:val="single"/>
        </w:rPr>
        <w:t>ARTÍCULO ÚNICO</w:t>
      </w:r>
      <w:r>
        <w:rPr>
          <w:rFonts w:cstheme="minorHAnsi"/>
          <w:smallCaps/>
        </w:rPr>
        <w:t xml:space="preserve">: </w:t>
      </w:r>
      <w:r w:rsidRPr="000868EC">
        <w:rPr>
          <w:rFonts w:cstheme="minorHAnsi"/>
        </w:rPr>
        <w:t xml:space="preserve">Efectúense las siguientes modificaciones al Código Penal: </w:t>
      </w:r>
    </w:p>
    <w:p w:rsidR="000868EC" w:rsidRPr="000868EC" w:rsidRDefault="000868EC" w:rsidP="000868EC">
      <w:pPr>
        <w:spacing w:after="0" w:line="276" w:lineRule="auto"/>
        <w:jc w:val="both"/>
        <w:rPr>
          <w:rFonts w:cstheme="minorHAnsi"/>
        </w:rPr>
      </w:pPr>
    </w:p>
    <w:p w:rsidR="000868EC" w:rsidRDefault="000868EC" w:rsidP="000868EC">
      <w:pPr>
        <w:spacing w:after="0" w:line="276" w:lineRule="auto"/>
        <w:jc w:val="both"/>
        <w:rPr>
          <w:rFonts w:cstheme="minorHAnsi"/>
        </w:rPr>
      </w:pPr>
      <w:r w:rsidRPr="000868EC">
        <w:rPr>
          <w:rFonts w:cstheme="minorHAnsi"/>
          <w:b/>
          <w:bCs/>
        </w:rPr>
        <w:t>1</w:t>
      </w:r>
      <w:r w:rsidRPr="000868EC">
        <w:rPr>
          <w:rFonts w:cstheme="minorHAnsi"/>
        </w:rPr>
        <w:t xml:space="preserve">. </w:t>
      </w:r>
      <w:r>
        <w:rPr>
          <w:rFonts w:cstheme="minorHAnsi"/>
        </w:rPr>
        <w:t>Reemplácese el actual artículo 269 del Código Penal, por uno nuevo, del siguiente tenor:</w:t>
      </w:r>
    </w:p>
    <w:p w:rsidR="000868EC" w:rsidRDefault="000868EC" w:rsidP="000868EC">
      <w:pPr>
        <w:spacing w:after="0" w:line="276" w:lineRule="auto"/>
        <w:jc w:val="both"/>
        <w:rPr>
          <w:rFonts w:cstheme="minorHAnsi"/>
        </w:rPr>
      </w:pPr>
    </w:p>
    <w:p w:rsidR="000868EC" w:rsidRDefault="000868EC" w:rsidP="000868EC">
      <w:pPr>
        <w:spacing w:after="0" w:line="276" w:lineRule="auto"/>
        <w:jc w:val="both"/>
        <w:rPr>
          <w:rFonts w:cstheme="minorHAnsi"/>
        </w:rPr>
      </w:pPr>
      <w:r>
        <w:rPr>
          <w:rFonts w:cstheme="minorHAnsi"/>
        </w:rPr>
        <w:t>“</w:t>
      </w:r>
      <w:r>
        <w:rPr>
          <w:rFonts w:cstheme="minorHAnsi"/>
          <w:i/>
          <w:iCs/>
        </w:rPr>
        <w:t>Quienes actuando en grupo o individualmente, pero amparados en él, alteren la paz pública ejecutando actos de violencia sobre las personas o sobre las cosas, o amenazando a otros con llevarlos a cabo, serán castigados con la pena de presidio menor en su grado medio</w:t>
      </w:r>
      <w:r>
        <w:rPr>
          <w:rFonts w:cstheme="minorHAnsi"/>
        </w:rPr>
        <w:t xml:space="preserve">. </w:t>
      </w:r>
    </w:p>
    <w:p w:rsidR="000868EC" w:rsidRDefault="000868EC" w:rsidP="000868EC">
      <w:pPr>
        <w:spacing w:after="0" w:line="276" w:lineRule="auto"/>
        <w:jc w:val="both"/>
        <w:rPr>
          <w:rFonts w:cstheme="minorHAnsi"/>
        </w:rPr>
      </w:pPr>
    </w:p>
    <w:p w:rsidR="000868EC" w:rsidRPr="00461C04" w:rsidRDefault="000868EC" w:rsidP="000868EC">
      <w:pPr>
        <w:spacing w:after="0" w:line="276" w:lineRule="auto"/>
        <w:jc w:val="both"/>
        <w:rPr>
          <w:rFonts w:cstheme="minorHAnsi"/>
          <w:i/>
          <w:iCs/>
        </w:rPr>
      </w:pPr>
      <w:r>
        <w:rPr>
          <w:rFonts w:cstheme="minorHAnsi"/>
          <w:i/>
          <w:iCs/>
        </w:rPr>
        <w:t>Estas penas serán impuestas sin perjuicio de las que pudieran corresponder a los actos concretos de violencia o de amenazas que se hubieran llevado a cabo</w:t>
      </w:r>
      <w:r>
        <w:rPr>
          <w:rFonts w:cstheme="minorHAnsi"/>
        </w:rPr>
        <w:t>”</w:t>
      </w:r>
      <w:r w:rsidR="00461C04">
        <w:rPr>
          <w:rFonts w:cstheme="minorHAnsi"/>
        </w:rPr>
        <w:t>.</w:t>
      </w:r>
    </w:p>
    <w:p w:rsidR="000868EC" w:rsidRDefault="000868EC" w:rsidP="000868EC">
      <w:pPr>
        <w:spacing w:after="0" w:line="276" w:lineRule="auto"/>
        <w:jc w:val="both"/>
        <w:rPr>
          <w:rFonts w:cstheme="minorHAnsi"/>
        </w:rPr>
      </w:pPr>
    </w:p>
    <w:p w:rsidR="000868EC" w:rsidRDefault="000868EC" w:rsidP="000868EC">
      <w:pPr>
        <w:spacing w:after="0" w:line="276" w:lineRule="auto"/>
        <w:jc w:val="both"/>
        <w:rPr>
          <w:rFonts w:cstheme="minorHAnsi"/>
        </w:rPr>
      </w:pPr>
      <w:r>
        <w:rPr>
          <w:rFonts w:cstheme="minorHAnsi"/>
          <w:b/>
          <w:bCs/>
        </w:rPr>
        <w:t xml:space="preserve">2. </w:t>
      </w:r>
      <w:r w:rsidRPr="000868EC">
        <w:rPr>
          <w:rFonts w:cstheme="minorHAnsi"/>
        </w:rPr>
        <w:t xml:space="preserve">Agréguese un nuevo artículo 269 </w:t>
      </w:r>
      <w:r w:rsidRPr="000868EC">
        <w:rPr>
          <w:rFonts w:cstheme="minorHAnsi"/>
          <w:i/>
          <w:iCs/>
        </w:rPr>
        <w:t xml:space="preserve">bis </w:t>
      </w:r>
      <w:r w:rsidRPr="000868EC">
        <w:rPr>
          <w:rFonts w:cstheme="minorHAnsi"/>
        </w:rPr>
        <w:t xml:space="preserve">al Código Penal, </w:t>
      </w:r>
      <w:r w:rsidR="006134FD">
        <w:rPr>
          <w:rFonts w:cstheme="minorHAnsi"/>
        </w:rPr>
        <w:t xml:space="preserve">incluido en el Párrafo I </w:t>
      </w:r>
      <w:r w:rsidR="006134FD">
        <w:rPr>
          <w:rFonts w:cstheme="minorHAnsi"/>
          <w:i/>
          <w:iCs/>
        </w:rPr>
        <w:t xml:space="preserve">ter </w:t>
      </w:r>
      <w:r w:rsidR="006134FD" w:rsidRPr="006134FD">
        <w:rPr>
          <w:rFonts w:cstheme="minorHAnsi"/>
        </w:rPr>
        <w:t>y</w:t>
      </w:r>
      <w:r w:rsidR="006134FD">
        <w:rPr>
          <w:rFonts w:cstheme="minorHAnsi"/>
          <w:i/>
          <w:iCs/>
        </w:rPr>
        <w:t xml:space="preserve"> </w:t>
      </w:r>
      <w:r>
        <w:rPr>
          <w:rFonts w:cstheme="minorHAnsi"/>
        </w:rPr>
        <w:t xml:space="preserve">anterior al Párrafo II del Título VI, </w:t>
      </w:r>
      <w:r w:rsidRPr="000868EC">
        <w:rPr>
          <w:rFonts w:cstheme="minorHAnsi"/>
        </w:rPr>
        <w:t xml:space="preserve">pasando el actual </w:t>
      </w:r>
      <w:r w:rsidR="00156A1D">
        <w:rPr>
          <w:rFonts w:cstheme="minorHAnsi"/>
        </w:rPr>
        <w:t>artículo 26</w:t>
      </w:r>
      <w:r w:rsidR="006134FD">
        <w:rPr>
          <w:rFonts w:cstheme="minorHAnsi"/>
        </w:rPr>
        <w:t>9</w:t>
      </w:r>
      <w:r w:rsidR="00156A1D">
        <w:rPr>
          <w:rFonts w:cstheme="minorHAnsi"/>
        </w:rPr>
        <w:t xml:space="preserve"> </w:t>
      </w:r>
      <w:r w:rsidR="00156A1D" w:rsidRPr="00156A1D">
        <w:rPr>
          <w:rFonts w:cstheme="minorHAnsi"/>
          <w:i/>
          <w:iCs/>
        </w:rPr>
        <w:t>bis</w:t>
      </w:r>
      <w:r w:rsidR="00156A1D">
        <w:rPr>
          <w:rFonts w:cstheme="minorHAnsi"/>
          <w:i/>
          <w:iCs/>
        </w:rPr>
        <w:t xml:space="preserve"> </w:t>
      </w:r>
      <w:r w:rsidRPr="00156A1D">
        <w:rPr>
          <w:rFonts w:cstheme="minorHAnsi"/>
        </w:rPr>
        <w:t>a</w:t>
      </w:r>
      <w:r w:rsidRPr="000868EC">
        <w:rPr>
          <w:rFonts w:cstheme="minorHAnsi"/>
        </w:rPr>
        <w:t xml:space="preserve"> ser el </w:t>
      </w:r>
      <w:r w:rsidR="00156A1D">
        <w:rPr>
          <w:rFonts w:cstheme="minorHAnsi"/>
        </w:rPr>
        <w:t xml:space="preserve">nuevo </w:t>
      </w:r>
      <w:r w:rsidRPr="000868EC">
        <w:rPr>
          <w:rFonts w:cstheme="minorHAnsi"/>
        </w:rPr>
        <w:t xml:space="preserve">artículo 269 </w:t>
      </w:r>
      <w:r w:rsidRPr="000868EC">
        <w:rPr>
          <w:rFonts w:cstheme="minorHAnsi"/>
          <w:i/>
          <w:iCs/>
        </w:rPr>
        <w:t>ter</w:t>
      </w:r>
      <w:r w:rsidRPr="000868EC">
        <w:rPr>
          <w:rFonts w:cstheme="minorHAnsi"/>
        </w:rPr>
        <w:t xml:space="preserve"> y así sucesivamente, del siguiente tenor: </w:t>
      </w:r>
    </w:p>
    <w:p w:rsidR="00156A1D" w:rsidRDefault="00156A1D" w:rsidP="000868EC">
      <w:pPr>
        <w:spacing w:after="0" w:line="276" w:lineRule="auto"/>
        <w:jc w:val="both"/>
        <w:rPr>
          <w:rFonts w:cstheme="minorHAnsi"/>
        </w:rPr>
      </w:pPr>
    </w:p>
    <w:p w:rsidR="00156A1D" w:rsidRPr="00156A1D" w:rsidRDefault="00156A1D" w:rsidP="000868EC">
      <w:pPr>
        <w:spacing w:after="0" w:line="276" w:lineRule="auto"/>
        <w:jc w:val="both"/>
        <w:rPr>
          <w:rFonts w:cstheme="minorHAnsi"/>
          <w:i/>
          <w:iCs/>
        </w:rPr>
      </w:pPr>
      <w:r>
        <w:rPr>
          <w:rFonts w:cstheme="minorHAnsi"/>
        </w:rPr>
        <w:t>“</w:t>
      </w:r>
      <w:r w:rsidRPr="00156A1D">
        <w:rPr>
          <w:rFonts w:cstheme="minorHAnsi"/>
          <w:i/>
          <w:iCs/>
        </w:rPr>
        <w:t>Los hechos descritos en el artículo anterior serán castigados con la pena de presidio menor en su grado máximo</w:t>
      </w:r>
      <w:r w:rsidR="003802DC">
        <w:rPr>
          <w:rFonts w:cstheme="minorHAnsi"/>
          <w:i/>
          <w:iCs/>
        </w:rPr>
        <w:t xml:space="preserve"> a presidio mayor en su grado mínimo</w:t>
      </w:r>
      <w:r w:rsidRPr="00156A1D">
        <w:rPr>
          <w:rFonts w:cstheme="minorHAnsi"/>
          <w:i/>
          <w:iCs/>
        </w:rPr>
        <w:t xml:space="preserve"> cuando concurra alguna de las circunstancias siguientes:</w:t>
      </w:r>
    </w:p>
    <w:p w:rsidR="00156A1D" w:rsidRPr="00156A1D" w:rsidRDefault="00156A1D" w:rsidP="000868EC">
      <w:pPr>
        <w:spacing w:after="0" w:line="276" w:lineRule="auto"/>
        <w:jc w:val="both"/>
        <w:rPr>
          <w:rFonts w:cstheme="minorHAnsi"/>
          <w:i/>
          <w:iCs/>
        </w:rPr>
      </w:pPr>
    </w:p>
    <w:p w:rsidR="00156A1D" w:rsidRPr="00156A1D" w:rsidRDefault="00156A1D" w:rsidP="00156A1D">
      <w:pPr>
        <w:pStyle w:val="Prrafodelista"/>
        <w:numPr>
          <w:ilvl w:val="0"/>
          <w:numId w:val="26"/>
        </w:numPr>
        <w:spacing w:after="0" w:line="276" w:lineRule="auto"/>
        <w:jc w:val="both"/>
        <w:rPr>
          <w:rFonts w:cstheme="minorHAnsi"/>
          <w:i/>
          <w:iCs/>
        </w:rPr>
      </w:pPr>
      <w:r w:rsidRPr="00156A1D">
        <w:rPr>
          <w:rFonts w:cstheme="minorHAnsi"/>
          <w:i/>
          <w:iCs/>
        </w:rPr>
        <w:t xml:space="preserve">Cuando alguno de los partícipes en el delito portare un arma u otro instrumento peligroso, o exhibiere un arma de fuego simulada. </w:t>
      </w:r>
    </w:p>
    <w:p w:rsidR="00156A1D" w:rsidRPr="00156A1D" w:rsidRDefault="00156A1D" w:rsidP="00156A1D">
      <w:pPr>
        <w:pStyle w:val="Prrafodelista"/>
        <w:numPr>
          <w:ilvl w:val="0"/>
          <w:numId w:val="26"/>
        </w:numPr>
        <w:spacing w:after="0" w:line="276" w:lineRule="auto"/>
        <w:jc w:val="both"/>
        <w:rPr>
          <w:rFonts w:cstheme="minorHAnsi"/>
          <w:i/>
          <w:iCs/>
        </w:rPr>
      </w:pPr>
      <w:r w:rsidRPr="00156A1D">
        <w:rPr>
          <w:rFonts w:cstheme="minorHAnsi"/>
          <w:i/>
          <w:iCs/>
        </w:rPr>
        <w:t xml:space="preserve">Cuando el acto de violencia ejecutado resulte potencialmente peligroso para la vida de las personas o pueda causar lesiones graves. En particular, están incluidos los supuestos de lanzamiento de objetos contundentes o líquidos inflamables, el incendio y la utilización de explosivos. </w:t>
      </w:r>
    </w:p>
    <w:p w:rsidR="00156A1D" w:rsidRPr="00156A1D" w:rsidRDefault="00156A1D" w:rsidP="00156A1D">
      <w:pPr>
        <w:pStyle w:val="Prrafodelista"/>
        <w:numPr>
          <w:ilvl w:val="0"/>
          <w:numId w:val="26"/>
        </w:numPr>
        <w:spacing w:after="0" w:line="276" w:lineRule="auto"/>
        <w:jc w:val="both"/>
        <w:rPr>
          <w:rFonts w:cstheme="minorHAnsi"/>
          <w:i/>
          <w:iCs/>
        </w:rPr>
      </w:pPr>
      <w:r w:rsidRPr="00156A1D">
        <w:rPr>
          <w:rFonts w:cstheme="minorHAnsi"/>
          <w:i/>
          <w:iCs/>
        </w:rPr>
        <w:t>Cuando se llevaren a cabo actos de saqueo, ya sea previamente concertados o espontáneos y aun</w:t>
      </w:r>
      <w:r w:rsidR="00604553">
        <w:rPr>
          <w:rFonts w:cstheme="minorHAnsi"/>
          <w:i/>
          <w:iCs/>
        </w:rPr>
        <w:t>,</w:t>
      </w:r>
      <w:r w:rsidRPr="00156A1D">
        <w:rPr>
          <w:rFonts w:cstheme="minorHAnsi"/>
          <w:i/>
          <w:iCs/>
        </w:rPr>
        <w:t xml:space="preserve"> en este último caso</w:t>
      </w:r>
      <w:r w:rsidR="00604553">
        <w:rPr>
          <w:rFonts w:cstheme="minorHAnsi"/>
          <w:i/>
          <w:iCs/>
        </w:rPr>
        <w:t>,</w:t>
      </w:r>
      <w:r w:rsidRPr="00156A1D">
        <w:rPr>
          <w:rFonts w:cstheme="minorHAnsi"/>
          <w:i/>
          <w:iCs/>
        </w:rPr>
        <w:t xml:space="preserve"> valiéndose</w:t>
      </w:r>
      <w:r w:rsidR="00604553">
        <w:rPr>
          <w:rFonts w:cstheme="minorHAnsi"/>
          <w:i/>
          <w:iCs/>
        </w:rPr>
        <w:t xml:space="preserve"> de</w:t>
      </w:r>
      <w:r w:rsidRPr="00156A1D">
        <w:rPr>
          <w:rFonts w:cstheme="minorHAnsi"/>
          <w:i/>
          <w:iCs/>
        </w:rPr>
        <w:t xml:space="preserve"> la oportunidad que el tumulto o masa posibilita para actuar.</w:t>
      </w:r>
    </w:p>
    <w:p w:rsidR="00156A1D" w:rsidRPr="00156A1D" w:rsidRDefault="00156A1D" w:rsidP="00156A1D">
      <w:pPr>
        <w:spacing w:after="0" w:line="276" w:lineRule="auto"/>
        <w:jc w:val="both"/>
        <w:rPr>
          <w:rFonts w:cstheme="minorHAnsi"/>
          <w:i/>
          <w:iCs/>
        </w:rPr>
      </w:pPr>
      <w:bookmarkStart w:id="0" w:name="_GoBack"/>
      <w:bookmarkEnd w:id="0"/>
    </w:p>
    <w:p w:rsidR="00156A1D" w:rsidRPr="00156A1D" w:rsidRDefault="00156A1D" w:rsidP="00156A1D">
      <w:pPr>
        <w:spacing w:after="0" w:line="276" w:lineRule="auto"/>
        <w:jc w:val="both"/>
        <w:rPr>
          <w:rFonts w:cstheme="minorHAnsi"/>
        </w:rPr>
      </w:pPr>
      <w:r w:rsidRPr="00156A1D">
        <w:rPr>
          <w:rFonts w:cstheme="minorHAnsi"/>
          <w:i/>
          <w:iCs/>
        </w:rPr>
        <w:t>Estas penas serán impuestas sin perjuicio de las que pidieran corresponder a los actos concretos de violencia, amenazas o robo que se hubieran llevado a cabo</w:t>
      </w:r>
      <w:r>
        <w:rPr>
          <w:rFonts w:cstheme="minorHAnsi"/>
        </w:rPr>
        <w:t>.”</w:t>
      </w:r>
    </w:p>
    <w:p w:rsidR="00C40954" w:rsidRDefault="00C40954" w:rsidP="00DE54D3">
      <w:pPr>
        <w:spacing w:after="0" w:line="276" w:lineRule="auto"/>
        <w:jc w:val="center"/>
        <w:rPr>
          <w:rFonts w:cstheme="minorHAnsi"/>
          <w:smallCaps/>
          <w:u w:val="single"/>
        </w:rPr>
      </w:pPr>
    </w:p>
    <w:p w:rsidR="00156A1D" w:rsidRDefault="00156A1D" w:rsidP="00DE54D3">
      <w:pPr>
        <w:spacing w:after="0" w:line="276" w:lineRule="auto"/>
        <w:jc w:val="center"/>
        <w:rPr>
          <w:rFonts w:cstheme="minorHAnsi"/>
          <w:smallCaps/>
          <w:u w:val="single"/>
        </w:rPr>
      </w:pPr>
    </w:p>
    <w:p w:rsidR="00156A1D" w:rsidRDefault="00156A1D" w:rsidP="00DE54D3">
      <w:pPr>
        <w:spacing w:after="0" w:line="276" w:lineRule="auto"/>
        <w:jc w:val="center"/>
        <w:rPr>
          <w:rFonts w:cstheme="minorHAnsi"/>
          <w:smallCaps/>
          <w:u w:val="single"/>
        </w:rPr>
      </w:pPr>
    </w:p>
    <w:p w:rsidR="00156A1D" w:rsidRDefault="00156A1D" w:rsidP="00DE54D3">
      <w:pPr>
        <w:spacing w:after="0" w:line="276" w:lineRule="auto"/>
        <w:jc w:val="center"/>
        <w:rPr>
          <w:rFonts w:cstheme="minorHAnsi"/>
          <w:smallCaps/>
          <w:u w:val="single"/>
        </w:rPr>
      </w:pPr>
    </w:p>
    <w:p w:rsidR="00156A1D" w:rsidRDefault="00156A1D" w:rsidP="00DE54D3">
      <w:pPr>
        <w:spacing w:after="0" w:line="276" w:lineRule="auto"/>
        <w:jc w:val="center"/>
        <w:rPr>
          <w:rFonts w:cstheme="minorHAnsi"/>
          <w:smallCaps/>
          <w:u w:val="single"/>
        </w:rPr>
      </w:pPr>
    </w:p>
    <w:p w:rsidR="00156A1D" w:rsidRDefault="00156A1D" w:rsidP="00DE54D3">
      <w:pPr>
        <w:spacing w:after="0" w:line="276" w:lineRule="auto"/>
        <w:jc w:val="center"/>
        <w:rPr>
          <w:rFonts w:cstheme="minorHAnsi"/>
          <w:smallCaps/>
          <w:u w:val="single"/>
        </w:rPr>
      </w:pPr>
    </w:p>
    <w:p w:rsidR="00156A1D" w:rsidRDefault="00156A1D" w:rsidP="00DE54D3">
      <w:pPr>
        <w:spacing w:after="0" w:line="276" w:lineRule="auto"/>
        <w:jc w:val="center"/>
        <w:rPr>
          <w:rFonts w:cstheme="minorHAnsi"/>
          <w:smallCaps/>
          <w:u w:val="single"/>
        </w:rPr>
      </w:pPr>
    </w:p>
    <w:p w:rsidR="00156A1D" w:rsidRDefault="00156A1D" w:rsidP="007A57A8">
      <w:pPr>
        <w:spacing w:after="0" w:line="276" w:lineRule="auto"/>
        <w:rPr>
          <w:rFonts w:cstheme="minorHAnsi"/>
          <w:smallCaps/>
          <w:u w:val="single"/>
        </w:rPr>
      </w:pPr>
    </w:p>
    <w:p w:rsidR="00156A1D" w:rsidRDefault="00156A1D" w:rsidP="00156A1D">
      <w:pPr>
        <w:spacing w:after="0" w:line="276" w:lineRule="auto"/>
        <w:jc w:val="center"/>
        <w:rPr>
          <w:rFonts w:cstheme="minorHAnsi"/>
          <w:smallCaps/>
          <w:u w:val="single"/>
        </w:rPr>
      </w:pPr>
      <w:r>
        <w:rPr>
          <w:rFonts w:cstheme="minorHAnsi"/>
          <w:smallCaps/>
          <w:u w:val="single"/>
        </w:rPr>
        <w:t>________________________________</w:t>
      </w:r>
    </w:p>
    <w:p w:rsidR="00156A1D" w:rsidRDefault="00156A1D" w:rsidP="00156A1D">
      <w:pPr>
        <w:spacing w:after="0" w:line="276" w:lineRule="auto"/>
        <w:jc w:val="center"/>
        <w:rPr>
          <w:rFonts w:cstheme="minorHAnsi"/>
          <w:b/>
          <w:bCs/>
          <w:smallCaps/>
        </w:rPr>
      </w:pPr>
      <w:proofErr w:type="spellStart"/>
      <w:r>
        <w:rPr>
          <w:rFonts w:cstheme="minorHAnsi"/>
          <w:b/>
          <w:bCs/>
          <w:smallCaps/>
        </w:rPr>
        <w:t>gonzalo</w:t>
      </w:r>
      <w:proofErr w:type="spellEnd"/>
      <w:r>
        <w:rPr>
          <w:rFonts w:cstheme="minorHAnsi"/>
          <w:b/>
          <w:bCs/>
          <w:smallCaps/>
        </w:rPr>
        <w:t xml:space="preserve"> </w:t>
      </w:r>
      <w:proofErr w:type="spellStart"/>
      <w:r>
        <w:rPr>
          <w:rFonts w:cstheme="minorHAnsi"/>
          <w:b/>
          <w:bCs/>
          <w:smallCaps/>
        </w:rPr>
        <w:t>fuenzalida</w:t>
      </w:r>
      <w:proofErr w:type="spellEnd"/>
      <w:r>
        <w:rPr>
          <w:rFonts w:cstheme="minorHAnsi"/>
          <w:b/>
          <w:bCs/>
          <w:smallCaps/>
        </w:rPr>
        <w:t xml:space="preserve"> </w:t>
      </w:r>
      <w:proofErr w:type="spellStart"/>
      <w:r>
        <w:rPr>
          <w:rFonts w:cstheme="minorHAnsi"/>
          <w:b/>
          <w:bCs/>
          <w:smallCaps/>
        </w:rPr>
        <w:t>figueroa</w:t>
      </w:r>
      <w:proofErr w:type="spellEnd"/>
    </w:p>
    <w:p w:rsidR="00154D54" w:rsidRPr="00156A1D" w:rsidRDefault="00156A1D" w:rsidP="00156A1D">
      <w:pPr>
        <w:spacing w:after="0" w:line="276" w:lineRule="auto"/>
        <w:jc w:val="center"/>
        <w:rPr>
          <w:rFonts w:cstheme="minorHAnsi"/>
          <w:smallCaps/>
        </w:rPr>
      </w:pPr>
      <w:r>
        <w:rPr>
          <w:rFonts w:cstheme="minorHAnsi"/>
          <w:smallCaps/>
        </w:rPr>
        <w:t>diputado</w:t>
      </w:r>
    </w:p>
    <w:sectPr w:rsidR="00154D54" w:rsidRPr="00156A1D" w:rsidSect="00647625">
      <w:pgSz w:w="12240" w:h="20160" w:code="5"/>
      <w:pgMar w:top="1304" w:right="1304" w:bottom="1304" w:left="130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5951" w:rsidRDefault="006C5951" w:rsidP="00A82A1A">
      <w:pPr>
        <w:spacing w:after="0" w:line="240" w:lineRule="auto"/>
      </w:pPr>
      <w:r>
        <w:separator/>
      </w:r>
    </w:p>
  </w:endnote>
  <w:endnote w:type="continuationSeparator" w:id="0">
    <w:p w:rsidR="006C5951" w:rsidRDefault="006C5951" w:rsidP="00A82A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5951" w:rsidRDefault="006C5951" w:rsidP="00A82A1A">
      <w:pPr>
        <w:spacing w:after="0" w:line="240" w:lineRule="auto"/>
      </w:pPr>
      <w:r>
        <w:separator/>
      </w:r>
    </w:p>
  </w:footnote>
  <w:footnote w:type="continuationSeparator" w:id="0">
    <w:p w:rsidR="006C5951" w:rsidRDefault="006C5951" w:rsidP="00A82A1A">
      <w:pPr>
        <w:spacing w:after="0" w:line="240" w:lineRule="auto"/>
      </w:pPr>
      <w:r>
        <w:continuationSeparator/>
      </w:r>
    </w:p>
  </w:footnote>
  <w:footnote w:id="1">
    <w:p w:rsidR="00060162" w:rsidRPr="00060162" w:rsidRDefault="00060162" w:rsidP="00060162">
      <w:pPr>
        <w:pStyle w:val="Textonotapie"/>
        <w:jc w:val="both"/>
        <w:rPr>
          <w:rFonts w:asciiTheme="majorHAnsi" w:hAnsiTheme="majorHAnsi" w:cstheme="majorHAnsi"/>
        </w:rPr>
      </w:pPr>
      <w:r w:rsidRPr="00060162">
        <w:rPr>
          <w:rStyle w:val="Refdenotaalpie"/>
          <w:rFonts w:asciiTheme="majorHAnsi" w:hAnsiTheme="majorHAnsi" w:cstheme="majorHAnsi"/>
        </w:rPr>
        <w:footnoteRef/>
      </w:r>
      <w:r w:rsidRPr="00060162">
        <w:rPr>
          <w:rFonts w:asciiTheme="majorHAnsi" w:hAnsiTheme="majorHAnsi" w:cstheme="majorHAnsi"/>
        </w:rPr>
        <w:t xml:space="preserve"> Alex Van </w:t>
      </w:r>
      <w:proofErr w:type="spellStart"/>
      <w:r w:rsidRPr="00060162">
        <w:rPr>
          <w:rFonts w:asciiTheme="majorHAnsi" w:hAnsiTheme="majorHAnsi" w:cstheme="majorHAnsi"/>
        </w:rPr>
        <w:t>Weezel</w:t>
      </w:r>
      <w:proofErr w:type="spellEnd"/>
      <w:r w:rsidRPr="00060162">
        <w:rPr>
          <w:rFonts w:asciiTheme="majorHAnsi" w:hAnsiTheme="majorHAnsi" w:cstheme="majorHAnsi"/>
        </w:rPr>
        <w:t xml:space="preserve"> de la Cruz (2012): “</w:t>
      </w:r>
      <w:r w:rsidRPr="00060162">
        <w:rPr>
          <w:rFonts w:asciiTheme="majorHAnsi" w:hAnsiTheme="majorHAnsi" w:cstheme="majorHAnsi"/>
          <w:i/>
          <w:iCs/>
        </w:rPr>
        <w:t>Estructura y alcances del injusto típico del delito de desórdenes públicos</w:t>
      </w:r>
      <w:r w:rsidRPr="00060162">
        <w:rPr>
          <w:rFonts w:asciiTheme="majorHAnsi" w:hAnsiTheme="majorHAnsi" w:cstheme="majorHAnsi"/>
        </w:rPr>
        <w:t xml:space="preserve">”, Informe en Derecho elaborado para la Defensoría Penal Pública, pp. 11 y siguientes.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B5AD6"/>
    <w:multiLevelType w:val="hybridMultilevel"/>
    <w:tmpl w:val="54001E0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8F72849"/>
    <w:multiLevelType w:val="hybridMultilevel"/>
    <w:tmpl w:val="4F42F6C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1081E3C"/>
    <w:multiLevelType w:val="hybridMultilevel"/>
    <w:tmpl w:val="040EF068"/>
    <w:lvl w:ilvl="0" w:tplc="7FA4468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118E2BBC"/>
    <w:multiLevelType w:val="hybridMultilevel"/>
    <w:tmpl w:val="86A601BA"/>
    <w:lvl w:ilvl="0" w:tplc="0D66570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13FC6011"/>
    <w:multiLevelType w:val="hybridMultilevel"/>
    <w:tmpl w:val="F550AD4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10166C3"/>
    <w:multiLevelType w:val="hybridMultilevel"/>
    <w:tmpl w:val="DC6E298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6A94865"/>
    <w:multiLevelType w:val="hybridMultilevel"/>
    <w:tmpl w:val="4ACAB38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2FF61A09"/>
    <w:multiLevelType w:val="hybridMultilevel"/>
    <w:tmpl w:val="0E4260C0"/>
    <w:lvl w:ilvl="0" w:tplc="02608C7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DF777FB"/>
    <w:multiLevelType w:val="hybridMultilevel"/>
    <w:tmpl w:val="D16A6B8A"/>
    <w:lvl w:ilvl="0" w:tplc="340A000F">
      <w:start w:val="1"/>
      <w:numFmt w:val="decimal"/>
      <w:lvlText w:val="%1."/>
      <w:lvlJc w:val="left"/>
      <w:pPr>
        <w:ind w:left="720" w:hanging="360"/>
      </w:pPr>
      <w:rPr>
        <w:rFonts w:hint="default"/>
        <w:b w:val="0"/>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FA5672A"/>
    <w:multiLevelType w:val="hybridMultilevel"/>
    <w:tmpl w:val="BD2E2B1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4181279E"/>
    <w:multiLevelType w:val="hybridMultilevel"/>
    <w:tmpl w:val="D870D5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42D82308"/>
    <w:multiLevelType w:val="hybridMultilevel"/>
    <w:tmpl w:val="4442E530"/>
    <w:lvl w:ilvl="0" w:tplc="BD3E6514">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50227559"/>
    <w:multiLevelType w:val="hybridMultilevel"/>
    <w:tmpl w:val="AFC472B8"/>
    <w:lvl w:ilvl="0" w:tplc="2BAEFB6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nsid w:val="52C46934"/>
    <w:multiLevelType w:val="hybridMultilevel"/>
    <w:tmpl w:val="6A4E8F9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56C75621"/>
    <w:multiLevelType w:val="hybridMultilevel"/>
    <w:tmpl w:val="BFE6804C"/>
    <w:lvl w:ilvl="0" w:tplc="7F1EFE6A">
      <w:start w:val="1"/>
      <w:numFmt w:val="decimal"/>
      <w:lvlText w:val="%1."/>
      <w:lvlJc w:val="left"/>
      <w:pPr>
        <w:ind w:left="720" w:hanging="360"/>
      </w:pPr>
      <w:rPr>
        <w:rFonts w:hint="default"/>
        <w: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57CB43DD"/>
    <w:multiLevelType w:val="hybridMultilevel"/>
    <w:tmpl w:val="0E60C7E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5F2F4BCB"/>
    <w:multiLevelType w:val="hybridMultilevel"/>
    <w:tmpl w:val="848678C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61F30294"/>
    <w:multiLevelType w:val="hybridMultilevel"/>
    <w:tmpl w:val="22E0574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62214669"/>
    <w:multiLevelType w:val="hybridMultilevel"/>
    <w:tmpl w:val="153873BE"/>
    <w:lvl w:ilvl="0" w:tplc="DB562B6C">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63B720CB"/>
    <w:multiLevelType w:val="hybridMultilevel"/>
    <w:tmpl w:val="24542D64"/>
    <w:lvl w:ilvl="0" w:tplc="1360ACEA">
      <w:start w:val="1"/>
      <w:numFmt w:val="decimal"/>
      <w:lvlText w:val="%1."/>
      <w:lvlJc w:val="left"/>
      <w:pPr>
        <w:ind w:left="720" w:hanging="360"/>
      </w:pPr>
      <w:rPr>
        <w:rFonts w:hint="default"/>
        <w: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64513451"/>
    <w:multiLevelType w:val="hybridMultilevel"/>
    <w:tmpl w:val="15FA786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677C59B8"/>
    <w:multiLevelType w:val="hybridMultilevel"/>
    <w:tmpl w:val="9F727378"/>
    <w:lvl w:ilvl="0" w:tplc="6EBC9C02">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69443563"/>
    <w:multiLevelType w:val="hybridMultilevel"/>
    <w:tmpl w:val="80B8A45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699F46B2"/>
    <w:multiLevelType w:val="hybridMultilevel"/>
    <w:tmpl w:val="563EF2E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75424409"/>
    <w:multiLevelType w:val="hybridMultilevel"/>
    <w:tmpl w:val="DB94577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773C7B07"/>
    <w:multiLevelType w:val="multilevel"/>
    <w:tmpl w:val="C88C2F5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6"/>
  </w:num>
  <w:num w:numId="2">
    <w:abstractNumId w:val="17"/>
  </w:num>
  <w:num w:numId="3">
    <w:abstractNumId w:val="9"/>
  </w:num>
  <w:num w:numId="4">
    <w:abstractNumId w:val="24"/>
  </w:num>
  <w:num w:numId="5">
    <w:abstractNumId w:val="16"/>
  </w:num>
  <w:num w:numId="6">
    <w:abstractNumId w:val="3"/>
  </w:num>
  <w:num w:numId="7">
    <w:abstractNumId w:val="4"/>
  </w:num>
  <w:num w:numId="8">
    <w:abstractNumId w:val="7"/>
  </w:num>
  <w:num w:numId="9">
    <w:abstractNumId w:val="22"/>
  </w:num>
  <w:num w:numId="10">
    <w:abstractNumId w:val="5"/>
  </w:num>
  <w:num w:numId="11">
    <w:abstractNumId w:val="12"/>
  </w:num>
  <w:num w:numId="12">
    <w:abstractNumId w:val="14"/>
  </w:num>
  <w:num w:numId="13">
    <w:abstractNumId w:val="20"/>
  </w:num>
  <w:num w:numId="14">
    <w:abstractNumId w:val="19"/>
  </w:num>
  <w:num w:numId="15">
    <w:abstractNumId w:val="10"/>
  </w:num>
  <w:num w:numId="16">
    <w:abstractNumId w:val="1"/>
  </w:num>
  <w:num w:numId="17">
    <w:abstractNumId w:val="15"/>
  </w:num>
  <w:num w:numId="18">
    <w:abstractNumId w:val="0"/>
  </w:num>
  <w:num w:numId="19">
    <w:abstractNumId w:val="25"/>
  </w:num>
  <w:num w:numId="20">
    <w:abstractNumId w:val="21"/>
  </w:num>
  <w:num w:numId="21">
    <w:abstractNumId w:val="8"/>
  </w:num>
  <w:num w:numId="22">
    <w:abstractNumId w:val="11"/>
  </w:num>
  <w:num w:numId="23">
    <w:abstractNumId w:val="2"/>
  </w:num>
  <w:num w:numId="24">
    <w:abstractNumId w:val="13"/>
  </w:num>
  <w:num w:numId="25">
    <w:abstractNumId w:val="18"/>
  </w:num>
  <w:num w:numId="2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50478"/>
    <w:rsid w:val="000009BA"/>
    <w:rsid w:val="00025A39"/>
    <w:rsid w:val="00035EE5"/>
    <w:rsid w:val="00041C62"/>
    <w:rsid w:val="00043798"/>
    <w:rsid w:val="000563DD"/>
    <w:rsid w:val="00060162"/>
    <w:rsid w:val="00067257"/>
    <w:rsid w:val="00073375"/>
    <w:rsid w:val="00073DFD"/>
    <w:rsid w:val="0008204C"/>
    <w:rsid w:val="000868EC"/>
    <w:rsid w:val="00096A1B"/>
    <w:rsid w:val="000A7418"/>
    <w:rsid w:val="000C2201"/>
    <w:rsid w:val="000E024F"/>
    <w:rsid w:val="000E6786"/>
    <w:rsid w:val="00101DCB"/>
    <w:rsid w:val="00102A2A"/>
    <w:rsid w:val="00107F74"/>
    <w:rsid w:val="001207A6"/>
    <w:rsid w:val="00136AB6"/>
    <w:rsid w:val="00140910"/>
    <w:rsid w:val="00154D54"/>
    <w:rsid w:val="00156A1D"/>
    <w:rsid w:val="00160085"/>
    <w:rsid w:val="00171952"/>
    <w:rsid w:val="0017765A"/>
    <w:rsid w:val="001922AF"/>
    <w:rsid w:val="001A32B4"/>
    <w:rsid w:val="001B4A54"/>
    <w:rsid w:val="001B5041"/>
    <w:rsid w:val="001C0597"/>
    <w:rsid w:val="001C26BB"/>
    <w:rsid w:val="001D7E88"/>
    <w:rsid w:val="001E186A"/>
    <w:rsid w:val="001F561C"/>
    <w:rsid w:val="00216686"/>
    <w:rsid w:val="0022112F"/>
    <w:rsid w:val="00223E0C"/>
    <w:rsid w:val="00243FFA"/>
    <w:rsid w:val="00246A56"/>
    <w:rsid w:val="00254C15"/>
    <w:rsid w:val="00262313"/>
    <w:rsid w:val="002A60CA"/>
    <w:rsid w:val="002C11CE"/>
    <w:rsid w:val="002C44DE"/>
    <w:rsid w:val="002D49C5"/>
    <w:rsid w:val="002D585E"/>
    <w:rsid w:val="002D78AD"/>
    <w:rsid w:val="002D7C8D"/>
    <w:rsid w:val="002F169C"/>
    <w:rsid w:val="003001B5"/>
    <w:rsid w:val="003102D9"/>
    <w:rsid w:val="00311296"/>
    <w:rsid w:val="00316756"/>
    <w:rsid w:val="00332504"/>
    <w:rsid w:val="003447CD"/>
    <w:rsid w:val="00352503"/>
    <w:rsid w:val="00356E78"/>
    <w:rsid w:val="00357719"/>
    <w:rsid w:val="003702B7"/>
    <w:rsid w:val="00370465"/>
    <w:rsid w:val="003802DC"/>
    <w:rsid w:val="00386FC3"/>
    <w:rsid w:val="003A6B60"/>
    <w:rsid w:val="003A6E0D"/>
    <w:rsid w:val="003C5CDA"/>
    <w:rsid w:val="003C5DB0"/>
    <w:rsid w:val="003D070E"/>
    <w:rsid w:val="003D6D58"/>
    <w:rsid w:val="003E0B37"/>
    <w:rsid w:val="003E5421"/>
    <w:rsid w:val="003F7BF4"/>
    <w:rsid w:val="00415CBC"/>
    <w:rsid w:val="00421661"/>
    <w:rsid w:val="0042256C"/>
    <w:rsid w:val="00445B21"/>
    <w:rsid w:val="00455009"/>
    <w:rsid w:val="00461C04"/>
    <w:rsid w:val="00461D93"/>
    <w:rsid w:val="00463294"/>
    <w:rsid w:val="004643A6"/>
    <w:rsid w:val="004765A9"/>
    <w:rsid w:val="00482B36"/>
    <w:rsid w:val="0048335F"/>
    <w:rsid w:val="0048757A"/>
    <w:rsid w:val="00494CDC"/>
    <w:rsid w:val="004C2430"/>
    <w:rsid w:val="004C7DF8"/>
    <w:rsid w:val="004E28E0"/>
    <w:rsid w:val="004E3921"/>
    <w:rsid w:val="004F2644"/>
    <w:rsid w:val="005026FE"/>
    <w:rsid w:val="00511E52"/>
    <w:rsid w:val="005459B8"/>
    <w:rsid w:val="005468A8"/>
    <w:rsid w:val="005515D7"/>
    <w:rsid w:val="00554721"/>
    <w:rsid w:val="0056140D"/>
    <w:rsid w:val="005667E0"/>
    <w:rsid w:val="005805C2"/>
    <w:rsid w:val="0059519B"/>
    <w:rsid w:val="005A5B07"/>
    <w:rsid w:val="005B2BBE"/>
    <w:rsid w:val="005B4841"/>
    <w:rsid w:val="005C675F"/>
    <w:rsid w:val="005D4C27"/>
    <w:rsid w:val="005F1C27"/>
    <w:rsid w:val="00604553"/>
    <w:rsid w:val="00604AB4"/>
    <w:rsid w:val="006134FD"/>
    <w:rsid w:val="006224F6"/>
    <w:rsid w:val="00622D60"/>
    <w:rsid w:val="00624407"/>
    <w:rsid w:val="00624DEE"/>
    <w:rsid w:val="006324AE"/>
    <w:rsid w:val="006352DC"/>
    <w:rsid w:val="0064657F"/>
    <w:rsid w:val="00647625"/>
    <w:rsid w:val="00650EA9"/>
    <w:rsid w:val="006876C8"/>
    <w:rsid w:val="006A553C"/>
    <w:rsid w:val="006B7A97"/>
    <w:rsid w:val="006C5951"/>
    <w:rsid w:val="006C7A52"/>
    <w:rsid w:val="006D54FB"/>
    <w:rsid w:val="006F1C51"/>
    <w:rsid w:val="00700FA3"/>
    <w:rsid w:val="007027A1"/>
    <w:rsid w:val="0070622D"/>
    <w:rsid w:val="00710330"/>
    <w:rsid w:val="00720925"/>
    <w:rsid w:val="00731706"/>
    <w:rsid w:val="00733E33"/>
    <w:rsid w:val="00750478"/>
    <w:rsid w:val="007640BF"/>
    <w:rsid w:val="007A256F"/>
    <w:rsid w:val="007A57A8"/>
    <w:rsid w:val="007B608B"/>
    <w:rsid w:val="007E4268"/>
    <w:rsid w:val="007E5630"/>
    <w:rsid w:val="007E5A38"/>
    <w:rsid w:val="007F21AA"/>
    <w:rsid w:val="007F5D3D"/>
    <w:rsid w:val="00822E48"/>
    <w:rsid w:val="0083291C"/>
    <w:rsid w:val="00835ABE"/>
    <w:rsid w:val="00836DE0"/>
    <w:rsid w:val="00841DE1"/>
    <w:rsid w:val="008541F5"/>
    <w:rsid w:val="008612CA"/>
    <w:rsid w:val="00863DA9"/>
    <w:rsid w:val="0088444A"/>
    <w:rsid w:val="00896502"/>
    <w:rsid w:val="00897A68"/>
    <w:rsid w:val="008A094F"/>
    <w:rsid w:val="008B425B"/>
    <w:rsid w:val="008B677C"/>
    <w:rsid w:val="008C46DD"/>
    <w:rsid w:val="008D1AE0"/>
    <w:rsid w:val="008D5A32"/>
    <w:rsid w:val="008D5E79"/>
    <w:rsid w:val="008F1745"/>
    <w:rsid w:val="008F3B55"/>
    <w:rsid w:val="00901A9D"/>
    <w:rsid w:val="00902ABB"/>
    <w:rsid w:val="00903A79"/>
    <w:rsid w:val="00916F9E"/>
    <w:rsid w:val="0092264B"/>
    <w:rsid w:val="009263F3"/>
    <w:rsid w:val="00931916"/>
    <w:rsid w:val="00934D43"/>
    <w:rsid w:val="00935704"/>
    <w:rsid w:val="00935C13"/>
    <w:rsid w:val="00951830"/>
    <w:rsid w:val="009555C2"/>
    <w:rsid w:val="00960BFD"/>
    <w:rsid w:val="00971560"/>
    <w:rsid w:val="00976362"/>
    <w:rsid w:val="00981EE8"/>
    <w:rsid w:val="00991614"/>
    <w:rsid w:val="00994338"/>
    <w:rsid w:val="009A2CC6"/>
    <w:rsid w:val="009C21CD"/>
    <w:rsid w:val="009C5449"/>
    <w:rsid w:val="009C7AEE"/>
    <w:rsid w:val="009E1CA9"/>
    <w:rsid w:val="009E3A0D"/>
    <w:rsid w:val="009F62E7"/>
    <w:rsid w:val="00A00337"/>
    <w:rsid w:val="00A13419"/>
    <w:rsid w:val="00A13636"/>
    <w:rsid w:val="00A16DC6"/>
    <w:rsid w:val="00A21DDA"/>
    <w:rsid w:val="00A33EEA"/>
    <w:rsid w:val="00A37A85"/>
    <w:rsid w:val="00A67BEB"/>
    <w:rsid w:val="00A722AD"/>
    <w:rsid w:val="00A82A1A"/>
    <w:rsid w:val="00A86442"/>
    <w:rsid w:val="00AA0A5B"/>
    <w:rsid w:val="00AB2D65"/>
    <w:rsid w:val="00AB5EDA"/>
    <w:rsid w:val="00AB76E6"/>
    <w:rsid w:val="00AE129F"/>
    <w:rsid w:val="00AE32CC"/>
    <w:rsid w:val="00AF06D1"/>
    <w:rsid w:val="00B073BB"/>
    <w:rsid w:val="00B32609"/>
    <w:rsid w:val="00B377A0"/>
    <w:rsid w:val="00B40F16"/>
    <w:rsid w:val="00B531B6"/>
    <w:rsid w:val="00B624AE"/>
    <w:rsid w:val="00B63664"/>
    <w:rsid w:val="00B71F4F"/>
    <w:rsid w:val="00B8251F"/>
    <w:rsid w:val="00BA34AE"/>
    <w:rsid w:val="00BA3B20"/>
    <w:rsid w:val="00BB6E23"/>
    <w:rsid w:val="00BB73FE"/>
    <w:rsid w:val="00BC37CD"/>
    <w:rsid w:val="00BD3605"/>
    <w:rsid w:val="00BD7FA3"/>
    <w:rsid w:val="00BF69D4"/>
    <w:rsid w:val="00C0124E"/>
    <w:rsid w:val="00C068E8"/>
    <w:rsid w:val="00C25475"/>
    <w:rsid w:val="00C279DE"/>
    <w:rsid w:val="00C314F0"/>
    <w:rsid w:val="00C31DC2"/>
    <w:rsid w:val="00C40954"/>
    <w:rsid w:val="00C53BE6"/>
    <w:rsid w:val="00C6234B"/>
    <w:rsid w:val="00C70478"/>
    <w:rsid w:val="00C73B48"/>
    <w:rsid w:val="00C807B4"/>
    <w:rsid w:val="00C80A02"/>
    <w:rsid w:val="00C81A0E"/>
    <w:rsid w:val="00CA10D9"/>
    <w:rsid w:val="00CB5E48"/>
    <w:rsid w:val="00CD01B9"/>
    <w:rsid w:val="00CE11CA"/>
    <w:rsid w:val="00CE4449"/>
    <w:rsid w:val="00CF0717"/>
    <w:rsid w:val="00D06671"/>
    <w:rsid w:val="00D10210"/>
    <w:rsid w:val="00D310C0"/>
    <w:rsid w:val="00D40570"/>
    <w:rsid w:val="00D41616"/>
    <w:rsid w:val="00D503A3"/>
    <w:rsid w:val="00D513C4"/>
    <w:rsid w:val="00D53103"/>
    <w:rsid w:val="00D6621F"/>
    <w:rsid w:val="00D7143A"/>
    <w:rsid w:val="00D75DA6"/>
    <w:rsid w:val="00D80D13"/>
    <w:rsid w:val="00D84636"/>
    <w:rsid w:val="00D96F23"/>
    <w:rsid w:val="00DA527F"/>
    <w:rsid w:val="00DB32DE"/>
    <w:rsid w:val="00DE1EBA"/>
    <w:rsid w:val="00DE54D3"/>
    <w:rsid w:val="00DF0743"/>
    <w:rsid w:val="00E015AC"/>
    <w:rsid w:val="00E04244"/>
    <w:rsid w:val="00E21380"/>
    <w:rsid w:val="00E21D70"/>
    <w:rsid w:val="00E277F7"/>
    <w:rsid w:val="00E34CAB"/>
    <w:rsid w:val="00E36B03"/>
    <w:rsid w:val="00E65EEC"/>
    <w:rsid w:val="00E662C8"/>
    <w:rsid w:val="00E76FD4"/>
    <w:rsid w:val="00E9726E"/>
    <w:rsid w:val="00EC0E81"/>
    <w:rsid w:val="00EC58C0"/>
    <w:rsid w:val="00ED0697"/>
    <w:rsid w:val="00ED7CA5"/>
    <w:rsid w:val="00EF121A"/>
    <w:rsid w:val="00EF221D"/>
    <w:rsid w:val="00EF4FFD"/>
    <w:rsid w:val="00F24B25"/>
    <w:rsid w:val="00F2692B"/>
    <w:rsid w:val="00F44791"/>
    <w:rsid w:val="00F52B0C"/>
    <w:rsid w:val="00F5351C"/>
    <w:rsid w:val="00F62487"/>
    <w:rsid w:val="00F724DA"/>
    <w:rsid w:val="00F86A23"/>
    <w:rsid w:val="00F940E7"/>
    <w:rsid w:val="00FB2C64"/>
    <w:rsid w:val="00FB5622"/>
    <w:rsid w:val="00FC506C"/>
    <w:rsid w:val="00FD1963"/>
    <w:rsid w:val="00FD40E2"/>
    <w:rsid w:val="00FF169C"/>
    <w:rsid w:val="00FF434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96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A82A1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82A1A"/>
    <w:rPr>
      <w:sz w:val="20"/>
      <w:szCs w:val="20"/>
    </w:rPr>
  </w:style>
  <w:style w:type="character" w:styleId="Refdenotaalpie">
    <w:name w:val="footnote reference"/>
    <w:basedOn w:val="Fuentedeprrafopredeter"/>
    <w:uiPriority w:val="99"/>
    <w:semiHidden/>
    <w:unhideWhenUsed/>
    <w:rsid w:val="00A82A1A"/>
    <w:rPr>
      <w:vertAlign w:val="superscript"/>
    </w:rPr>
  </w:style>
  <w:style w:type="character" w:styleId="Hipervnculo">
    <w:name w:val="Hyperlink"/>
    <w:basedOn w:val="Fuentedeprrafopredeter"/>
    <w:uiPriority w:val="99"/>
    <w:unhideWhenUsed/>
    <w:rsid w:val="00A82A1A"/>
    <w:rPr>
      <w:color w:val="0563C1" w:themeColor="hyperlink"/>
      <w:u w:val="single"/>
    </w:rPr>
  </w:style>
  <w:style w:type="character" w:customStyle="1" w:styleId="UnresolvedMention">
    <w:name w:val="Unresolved Mention"/>
    <w:basedOn w:val="Fuentedeprrafopredeter"/>
    <w:uiPriority w:val="99"/>
    <w:semiHidden/>
    <w:unhideWhenUsed/>
    <w:rsid w:val="00A82A1A"/>
    <w:rPr>
      <w:color w:val="605E5C"/>
      <w:shd w:val="clear" w:color="auto" w:fill="E1DFDD"/>
    </w:rPr>
  </w:style>
  <w:style w:type="paragraph" w:styleId="Prrafodelista">
    <w:name w:val="List Paragraph"/>
    <w:basedOn w:val="Normal"/>
    <w:uiPriority w:val="34"/>
    <w:qFormat/>
    <w:rsid w:val="009C7AEE"/>
    <w:pPr>
      <w:ind w:left="720"/>
      <w:contextualSpacing/>
    </w:pPr>
  </w:style>
  <w:style w:type="paragraph" w:styleId="Encabezado">
    <w:name w:val="header"/>
    <w:basedOn w:val="Normal"/>
    <w:link w:val="EncabezadoCar"/>
    <w:uiPriority w:val="99"/>
    <w:unhideWhenUsed/>
    <w:rsid w:val="00B531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1B6"/>
  </w:style>
  <w:style w:type="paragraph" w:styleId="Piedepgina">
    <w:name w:val="footer"/>
    <w:basedOn w:val="Normal"/>
    <w:link w:val="PiedepginaCar"/>
    <w:uiPriority w:val="99"/>
    <w:unhideWhenUsed/>
    <w:rsid w:val="00B531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1B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9B779-92D1-41BA-ACF6-B4E1E35D3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Mera Schmidt</dc:creator>
  <cp:keywords/>
  <dc:description/>
  <cp:lastModifiedBy>Guillermo Diaz Vallejos</cp:lastModifiedBy>
  <cp:revision>6</cp:revision>
  <cp:lastPrinted>2019-07-26T19:59:00Z</cp:lastPrinted>
  <dcterms:created xsi:type="dcterms:W3CDTF">2019-11-22T15:21:00Z</dcterms:created>
  <dcterms:modified xsi:type="dcterms:W3CDTF">2019-11-27T20:19:00Z</dcterms:modified>
</cp:coreProperties>
</file>