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8.jpg" ContentType="image/jpeg"/>
  <Override PartName="/word/media/rId42.jpg" ContentType="image/jpeg"/>
  <Override PartName="/word/media/rId46.jpg" ContentType="image/jpeg"/>
  <Override PartName="/word/media/rId50.jpg" ContentType="image/jpeg"/>
  <Override PartName="/word/media/rId53.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Paula Camila Silva Gómez</w:t>
      </w:r>
      <w:r>
        <w:rPr>
          <w:rStyle w:val="FootnoteReference"/>
        </w:rPr>
        <w:footnoteReference w:id="23"/>
      </w:r>
    </w:p>
    <w:p>
      <w:pPr>
        <w:pStyle w:val="BodyText"/>
      </w:pPr>
      <w:r>
        <w:rPr>
          <w:bCs/>
          <w:b/>
        </w:rPr>
        <w:t xml:space="preserve">Nelly Sélem Mojica</w:t>
      </w:r>
      <w:r>
        <w:rPr>
          <w:rStyle w:val="FootnoteReference"/>
        </w:rPr>
        <w:footnoteReference w:id="24"/>
      </w:r>
    </w:p>
    <w:p>
      <w:pPr>
        <w:pStyle w:val="BodyText"/>
      </w:pPr>
      <w:r>
        <w:rPr>
          <w:bCs/>
          <w:b/>
        </w:rPr>
        <w:t xml:space="preserve">José Alexander Fuentes Montoya</w:t>
      </w:r>
      <w:r>
        <w:rPr>
          <w:rStyle w:val="FootnoteReference"/>
        </w:rPr>
        <w:footnoteReference w:id="25"/>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y equilibrio, mientras que las no saludables presentaron mayor abundancia relativa de taxones asociados con enfermedad. Sin embargo, ninguna diferencia de diversidad fue significativa, ni en la comunidad completa ni en la fracción eucariota; solo la mayor heterogeneidad del grupo no saludable. El flujo propuesto es una base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and a more balanced community, whereas unhealthy plants exhibited a higher relative abundance of disease-associated taxa. However, no diversity difference was statistically significant, neither in the whole community nor in the eukaryotic fraction; only the greater heterogeneity of the unhealthy group was. The proposed workflow provides a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e equilíbrio, enquanto as não saudáveis apresentaram maior abundância relativa de táxons associados a doenças. No entanto, nenhuma diferença de diversidade foi significativa, nem na comunidade completa nem na fração eucariótica; apenas a maior heterogeneidade do grupo não saudável o foi. O fluxo proposto é uma base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En los últimos años, varios estudios han documentado diferencias taxonómicas consistentes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junto con la familia Nitrosomonadaceae, tienden a ser más abundantes en rizósferas no saludables, mientras que taxones como Tepidisphaerales e</w:t>
      </w:r>
      <w:r>
        <w:t xml:space="preserve"> </w:t>
      </w:r>
      <w:r>
        <w:rPr>
          <w:iCs/>
          <w:i/>
        </w:rPr>
        <w:t xml:space="preserve">Hydrocarboniphaga</w:t>
      </w:r>
      <w:r>
        <w:t xml:space="preserve"> </w:t>
      </w:r>
      <w:r>
        <w:t xml:space="preserve">se asocian con condiciones saludables (Siegieda et al., 2024). Asimismo, se ha reportado que consorcios de rizobacterias promotoras del crecimiento vegetal (PGPR), como</w:t>
      </w:r>
      <w:r>
        <w:t xml:space="preserve"> </w:t>
      </w:r>
      <w:r>
        <w:rPr>
          <w:iCs/>
          <w:i/>
        </w:rPr>
        <w:t xml:space="preserve">Bacillus subtilis</w:t>
      </w:r>
      <w:r>
        <w:t xml:space="preserve">,</w:t>
      </w:r>
      <w:r>
        <w:t xml:space="preserve"> </w:t>
      </w:r>
      <w:r>
        <w:rPr>
          <w:iCs/>
          <w:i/>
        </w:rPr>
        <w:t xml:space="preserve">Bacillus amyloliquefaciens</w:t>
      </w:r>
      <w:r>
        <w:t xml:space="preserve"> </w:t>
      </w:r>
      <w:r>
        <w:t xml:space="preserve">y</w:t>
      </w:r>
      <w:r>
        <w:t xml:space="preserve"> </w:t>
      </w:r>
      <w:r>
        <w:rPr>
          <w:iCs/>
          <w:i/>
        </w:rPr>
        <w:t xml:space="preserve">Pseudomonas monteilii</w:t>
      </w:r>
      <w:r>
        <w:t xml:space="preserve">, modifican favorablemente el microbioma del suelo y la calidad del fruto (Nam et al., 2023), mientras que microorganismos fitopatógenos como</w:t>
      </w:r>
      <w:r>
        <w:t xml:space="preserve"> </w:t>
      </w:r>
      <w:r>
        <w:rPr>
          <w:iCs/>
          <w:i/>
        </w:rPr>
        <w:t xml:space="preserve">Fusarium</w:t>
      </w:r>
      <w:r>
        <w:t xml:space="preserve"> </w:t>
      </w:r>
      <w:r>
        <w:t xml:space="preserve">spp.,</w:t>
      </w:r>
      <w:r>
        <w:t xml:space="preserve"> </w:t>
      </w:r>
      <w:r>
        <w:rPr>
          <w:iCs/>
          <w:i/>
        </w:rPr>
        <w:t xml:space="preserve">Phytophthora</w:t>
      </w:r>
      <w:r>
        <w:t xml:space="preserve"> </w:t>
      </w:r>
      <w:r>
        <w:t xml:space="preserve">spp. o</w:t>
      </w:r>
      <w:r>
        <w:t xml:space="preserve"> </w:t>
      </w:r>
      <w:r>
        <w:rPr>
          <w:iCs/>
          <w:i/>
        </w:rPr>
        <w:t xml:space="preserve">Botrytis cinerea</w:t>
      </w:r>
      <w:r>
        <w:t xml:space="preserve"> </w:t>
      </w:r>
      <w:r>
        <w:t xml:space="preserve">se han vinculado de manera recurrente con procesos de marchitez y pudrición radicular en este cultivo (Yang et al., 2020).</w:t>
      </w:r>
    </w:p>
    <w:p>
      <w:pPr>
        <w:pStyle w:val="BodyText"/>
      </w:pPr>
      <w:r>
        <w:t xml:space="preserve">Estos hallazgos plantean una pregunta metodológica de fondo: ¿en qué medida las herramientas estadísticas convencionales, es decir, los índices de diversidad y la inferencia basada en pruebas de hipótesis, permiten capturar y validar formalmente las diferencias observadas a nivel taxonómico, considerando el tamaño de muestra moderado, la alta dimensionalidad y la naturaleza composicional propios de los estudios metagenómicos agrícolas? Responder esta pregunta exige no solo calcular los índices convencionales de diversidad alfa y beta, sino también evaluar su capacidad discriminante mediante pruebas de hipótesis paramétricas y no paramétricas, y explorar la estructura de los datos en distintos niveles jerárquicos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6"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un contenedor que integra de manera coherente cuatro componentes: la matriz de conteos (taxón × muestra), la tabla de taxonomía, que codifica la jerarquía reino → filo → clase → orden → familia → género → especie, los metadatos de las muestras y, cuando está disponible, el árbol filogenético. La matriz de conteos, altamente dispersa, se almacena e intercambia mediante el formato BIOM (</w:t>
      </w:r>
      <w:r>
        <w:rPr>
          <w:iCs/>
          <w:i/>
        </w:rPr>
        <w:t xml:space="preserve">Biological Observation Matrix</w:t>
      </w:r>
      <w:r>
        <w:t xml:space="preserve">; McDonald et al., 2012), un estándar basado en JSON o HDF5 optimizado para matrices de observaciones biológicas de gran tamaño. El cálculo de la diversidad beta es cuadrático en el número de muestras, del orden de O(n²·p) para n muestras y p taxones,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6"/>
    <w:bookmarkStart w:id="27"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7"/>
    <w:bookmarkStart w:id="28"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8"/>
    <w:bookmarkStart w:id="29"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9"/>
    <w:bookmarkStart w:id="30"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30"/>
    <w:bookmarkStart w:id="31"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31"/>
    <w:bookmarkStart w:id="32"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La normalidad de cada grupo se verificó con la prueba de Shapiro-Wilk y la igualdad de varianzas con la prueba F. En todos los casos se utilizó un nivel de significancia α = 0.05.</w:t>
      </w:r>
    </w:p>
    <w:bookmarkEnd w:id="32"/>
    <w:bookmarkStart w:id="33"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3"/>
    <w:bookmarkStart w:id="37" w:name="X4dd5885cca29ce53514b06d1e235720d5fb96df"/>
    <w:p>
      <w:pPr>
        <w:pStyle w:val="Heading1"/>
      </w:pPr>
      <w:r>
        <w:t xml:space="preserve">Efecto del control de calidad sobre la diversidad alfa</w:t>
      </w:r>
    </w:p>
    <w:p>
      <w:pPr>
        <w:pStyle w:val="FirstParagraph"/>
      </w:pPr>
      <w:r>
        <w:t xml:space="preserve">Antes de aplicar el filtro de calidad, la diversidad alfa observada en los cuatro índices (riqueza observada, Chao1, Shannon y Simpson) era prácticamente indistinguible entre los grupos saludable y no saludable, debido a la influencia de un número reducido de muestras con profundidades de secuenciación extremadamente bajas, que comprimían visualmente la escala de todos los gráficos (Figura 1A). Tras eliminar las cinco muestras de baja calidad, la separación entre grupos se hizo considerablemente más clara (Figura 1B): las muestras saludables mostraron una tendencia hacia una mayor diversidad, particularmente evidente en el estimador Chao1, que al incorporar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permitió apreciar con mayor nitidez la diferencia de riqueza entre grupos. Aunque perceptible, la diferencia no fue grande, lo que anticipó los resultados de las pruebas de hipótesis.</w:t>
      </w:r>
    </w:p>
    <w:p>
      <w:pPr>
        <w:spacing w:before="120" w:after="60"/>
        <w:jc w:val="center"/>
      </w:pPr>
      <w:r>
        <w:drawing>
          <wp:inline>
            <wp:extent cx="5334000" cy="2666247"/>
            <wp:effectExtent b="0" l="0" r="0" t="0"/>
            <wp:docPr descr="" title="" id="35" name="Picture"/>
            <a:graphic>
              <a:graphicData uri="http://schemas.openxmlformats.org/drawingml/2006/picture">
                <pic:pic>
                  <pic:nvPicPr>
                    <pic:cNvPr descr="figuras/Figura1_DiversidadAlfa.jpg" id="36" name="Picture"/>
                    <pic:cNvPicPr>
                      <a:picLocks noChangeArrowheads="1" noChangeAspect="1"/>
                    </pic:cNvPicPr>
                  </pic:nvPicPr>
                  <pic:blipFill>
                    <a:blip r:embed="rId34"/>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7"/>
    <w:bookmarkStart w:id="41"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5334000" cy="2843896"/>
            <wp:effectExtent b="0" l="0" r="0" t="0"/>
            <wp:docPr descr="" title="" id="39" name="Picture"/>
            <a:graphic>
              <a:graphicData uri="http://schemas.openxmlformats.org/drawingml/2006/picture">
                <pic:pic>
                  <pic:nvPicPr>
                    <pic:cNvPr descr="figuras/Figura2_DiversidadBeta.jpg" id="40" name="Picture"/>
                    <pic:cNvPicPr>
                      <a:picLocks noChangeArrowheads="1" noChangeAspect="1"/>
                    </pic:cNvPicPr>
                  </pic:nvPicPr>
                  <pic:blipFill>
                    <a:blip r:embed="rId38"/>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41"/>
    <w:bookmarkStart w:id="45"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5334000" cy="3378350"/>
            <wp:effectExtent b="0" l="0" r="0" t="0"/>
            <wp:docPr descr="" title="" id="43" name="Picture"/>
            <a:graphic>
              <a:graphicData uri="http://schemas.openxmlformats.org/drawingml/2006/picture">
                <pic:pic>
                  <pic:nvPicPr>
                    <pic:cNvPr descr="figuras/Figura3_AbundanciaFilo.jpg" id="44" name="Picture"/>
                    <pic:cNvPicPr>
                      <a:picLocks noChangeArrowheads="1" noChangeAspect="1"/>
                    </pic:cNvPicPr>
                  </pic:nvPicPr>
                  <pic:blipFill>
                    <a:blip r:embed="rId42"/>
                    <a:stretch>
                      <a:fillRect/>
                    </a:stretch>
                  </pic:blipFill>
                  <pic:spPr bwMode="auto">
                    <a:xfrm>
                      <a:off x="0" y="0"/>
                      <a:ext cx="5334000" cy="3378350"/>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5"/>
    <w:bookmarkStart w:id="49"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taxonómica identificó taxones eucariotas, entre ellos</w:t>
      </w:r>
      <w:r>
        <w:t xml:space="preserve"> </w:t>
      </w:r>
      <w:r>
        <w:rPr>
          <w:iCs/>
          <w:i/>
        </w:rPr>
        <w:t xml:space="preserve">Fusarium</w:t>
      </w:r>
      <w:r>
        <w:t xml:space="preserve"> </w:t>
      </w:r>
      <w:r>
        <w:t xml:space="preserve">y</w:t>
      </w:r>
      <w:r>
        <w:t xml:space="preserve"> </w:t>
      </w:r>
      <w:r>
        <w:rPr>
          <w:iCs/>
          <w:i/>
        </w:rPr>
        <w:t xml:space="preserve">Phytophthora</w:t>
      </w:r>
      <w:r>
        <w:t xml:space="preserve">, con mayor presencia relativa en las muestras no saludables, en concordancia con su papel documentado como fitopatógenos de la fresa (Yang et al., 2020).</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cuya presencia relativa mostró un patrón más definido en las muestras saludables (Figura 4). En concordancia con reportes previos en fresa, la exploración taxonómica también identificó una mayor presencia relativa de géneros con potencial patogénico, como</w:t>
      </w:r>
      <w:r>
        <w:t xml:space="preserve"> </w:t>
      </w:r>
      <w:r>
        <w:rPr>
          <w:iCs/>
          <w:i/>
        </w:rPr>
        <w:t xml:space="preserve">Ralstonia</w:t>
      </w:r>
      <w:r>
        <w:t xml:space="preserve">, en muestras no saludables, y de géneros benéficos, como</w:t>
      </w:r>
      <w:r>
        <w:t xml:space="preserve"> </w:t>
      </w:r>
      <w:r>
        <w:rPr>
          <w:iCs/>
          <w:i/>
        </w:rPr>
        <w:t xml:space="preserve">Pseudomonas</w:t>
      </w:r>
      <w:r>
        <w:t xml:space="preserve"> </w:t>
      </w:r>
      <w:r>
        <w:t xml:space="preserve">y</w:t>
      </w:r>
      <w:r>
        <w:t xml:space="preserve"> </w:t>
      </w:r>
      <w:r>
        <w:rPr>
          <w:iCs/>
          <w:i/>
        </w:rPr>
        <w:t xml:space="preserve">Bacillus</w:t>
      </w:r>
      <w:r>
        <w:t xml:space="preserve">, en muestras saludables (Nam et al., 2023; Siegieda et al., 2024).</w:t>
      </w:r>
    </w:p>
    <w:p>
      <w:pPr>
        <w:spacing w:before="120" w:after="60"/>
        <w:jc w:val="center"/>
      </w:pPr>
      <w:r>
        <w:drawing>
          <wp:inline>
            <wp:extent cx="5334000" cy="3021546"/>
            <wp:effectExtent b="0" l="0" r="0" t="0"/>
            <wp:docPr descr="" title="" id="47" name="Picture"/>
            <a:graphic>
              <a:graphicData uri="http://schemas.openxmlformats.org/drawingml/2006/picture">
                <pic:pic>
                  <pic:nvPicPr>
                    <pic:cNvPr descr="figuras/Figura4_ComposicionBacteriana.jpg" id="48" name="Picture"/>
                    <pic:cNvPicPr>
                      <a:picLocks noChangeArrowheads="1" noChangeAspect="1"/>
                    </pic:cNvPicPr>
                  </pic:nvPicPr>
                  <pic:blipFill>
                    <a:blip r:embed="rId46"/>
                    <a:stretch>
                      <a:fillRect/>
                    </a:stretch>
                  </pic:blipFill>
                  <pic:spPr bwMode="auto">
                    <a:xfrm>
                      <a:off x="0" y="0"/>
                      <a:ext cx="5334000" cy="3021546"/>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 presencia diferenciada de</w:t>
      </w:r>
      <w:r>
        <w:t xml:space="preserve"> </w:t>
      </w:r>
      <w:r>
        <w:rPr>
          <w:iCs/>
          <w:i/>
        </w:rPr>
        <w:t xml:space="preserve">Paenibacillus polymyxa</w:t>
      </w:r>
      <w:r>
        <w:t xml:space="preserve">. Elaboración propia a partir de datos de Solena Ag.</w:t>
      </w:r>
    </w:p>
    <w:p>
      <w:pPr>
        <w:pStyle w:val="BodyText"/>
      </w:pPr>
      <w:r>
        <w:t xml:space="preserve">En cuanto a la diversidad, tanto alfa como beta, calculada dentro de cada nivel taxonómico, la diversidad alfa de Eukaryota reveló una microbiota más equilibrada en las plantas saludables frente a una mayor dominancia de taxones potencialmente patógenos en las no saludables, mientras que la diversidad alfa de Bacteria mostró un patrón similar, con mayor diversidad y equilibrio en las muestras saludables en todos los niveles taxonómicos evaluados.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lo que refuerza el valor de la desagregación taxonómica para identificar biomarcadores candidatos.</w:t>
      </w:r>
    </w:p>
    <w:bookmarkEnd w:id="49"/>
    <w:bookmarkStart w:id="56" w:name="pruebas-de-hipótesis-1"/>
    <w:p>
      <w:pPr>
        <w:pStyle w:val="Heading1"/>
      </w:pPr>
      <w:r>
        <w:t xml:space="preserve">Pruebas de hipótesis</w:t>
      </w:r>
    </w:p>
    <w:p>
      <w:pPr>
        <w:pStyle w:val="FirstParagraph"/>
      </w:pPr>
      <w:r>
        <w:t xml:space="preserve">La prueba de Shapiro-Wilk no rechazó la normalidad del índice de Shannon en el grupo saludable (p = 0.130) pero sí en el no saludable (p &lt; 0.001), y la prueba F rechazó la igualdad de varianzas (F = 0.132 con 34 y 17 grados de libertad, p &lt; 0.001): la varianza del grupo no saludable es unas siete veces mayor que la del saludable. La prueba t de Student sobre el índice de Shannon a nivel de la comunidad completa no aportó evidencia suficiente para rechazar la hipótesis nula de igualdad de medias: asumiendo varianzas iguales, t = 1.939 con 51 grados de libertad y p = 0.058, y con la prueba de Welch, que es la apropiada dados los supuestos, t = 1.499 con 19.3 grados de libertad y p = 0.150. Es decir, aunque las muestras saludables mostraron visualmente una diversidad promedio mayor, esta diferencia no alcanzó significancia estadística al nivel α = 0.05 considerado.</w:t>
      </w:r>
    </w:p>
    <w:p>
      <w:pPr>
        <w:pStyle w:val="BodyText"/>
      </w:pPr>
      <w:r>
        <w:t xml:space="preserve">La misma prueba se aplicó al índice de Shannon calculado sobre los 58 géneros de eucariotas, grupo que incluye a</w:t>
      </w:r>
      <w:r>
        <w:t xml:space="preserve"> </w:t>
      </w:r>
      <w:r>
        <w:rPr>
          <w:iCs/>
          <w:i/>
        </w:rPr>
        <w:t xml:space="preserve">Fusarium</w:t>
      </w:r>
      <w:r>
        <w:t xml:space="preserve"> </w:t>
      </w:r>
      <w:r>
        <w:t xml:space="preserve">y</w:t>
      </w:r>
      <w:r>
        <w:t xml:space="preserve"> </w:t>
      </w:r>
      <w:r>
        <w:rPr>
          <w:iCs/>
          <w:i/>
        </w:rPr>
        <w:t xml:space="preserve">Phytophthora</w:t>
      </w:r>
      <w:r>
        <w:t xml:space="preserve">, para comprobar si la señal asociada con los fitopatógenos, diluida en la comunidad completa, resultaba detectable al aislar la fracción eucariota (Figura 5). Las medias fueron 3.077 en el grupo saludable y 3.035 en el no saludable. Asumiendo varianzas iguales, t = 1.139 con 51 grados de libertad y p = 0.260; con la prueba de Welch, t = 0.902 con 20.2 grados de libertad y p = 0.378; y con Mann-Whitney, W = 318 y p = 0.963. En los tres casos el intervalo de confianza incluyó el cero, de modo que la diversidad de géneros de eucariotas tampoco difiere significativamente entre grupos.</w:t>
      </w:r>
    </w:p>
    <w:p>
      <w:pPr>
        <w:spacing w:before="120" w:after="60"/>
        <w:jc w:val="center"/>
      </w:pPr>
      <w:r>
        <w:drawing>
          <wp:inline>
            <wp:extent cx="5334000" cy="2843896"/>
            <wp:effectExtent b="0" l="0" r="0" t="0"/>
            <wp:docPr descr="" title="" id="51" name="Picture"/>
            <a:graphic>
              <a:graphicData uri="http://schemas.openxmlformats.org/drawingml/2006/picture">
                <pic:pic>
                  <pic:nvPicPr>
                    <pic:cNvPr descr="figuras/Figura5_tStudent_Fusarium.jpg" id="52" name="Picture"/>
                    <pic:cNvPicPr>
                      <a:picLocks noChangeArrowheads="1" noChangeAspect="1"/>
                    </pic:cNvPicPr>
                  </pic:nvPicPr>
                  <pic:blipFill>
                    <a:blip r:embed="rId5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(3.077 y 3.035). B) Distribución t con varianzas iguales (t = 1.139, gl = 51, p = 0.260). C) Distribución t con varianzas distintas (t = 0.902, gl = 20, p = 0.378). En ambos casos el estadístico queda dentro de la región de no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significativa en el nivel medio de diversidad, ni en la comunidad completa ni en la fracción eucariota. La única prueba que rechazó su hipótesis nula fue la de igualdad de varianzas: las plantas no saludables son significativamente más heterogéneas entre sí.</w:t>
      </w:r>
    </w:p>
    <w:p>
      <w:pPr>
        <w:spacing w:before="120" w:after="60"/>
        <w:jc w:val="center"/>
      </w:pPr>
      <w:r>
        <w:drawing>
          <wp:inline>
            <wp:extent cx="5334000" cy="2666247"/>
            <wp:effectExtent b="0" l="0" r="0" t="0"/>
            <wp:docPr descr="" title="" id="54" name="Picture"/>
            <a:graphic>
              <a:graphicData uri="http://schemas.openxmlformats.org/drawingml/2006/picture">
                <pic:pic>
                  <pic:nvPicPr>
                    <pic:cNvPr descr="figuras/Figura6_Wilcoxon_Shannon.jpg" id="55" name="Picture"/>
                    <pic:cNvPicPr>
                      <a:picLocks noChangeArrowheads="1" noChangeAspect="1"/>
                    </pic:cNvPicPr>
                  </pic:nvPicPr>
                  <pic:blipFill>
                    <a:blip r:embed="rId53"/>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consistentes y de patrones taxonómicos diferenciadores plausibles que, sin embargo, no siempre alcanzan significancia estadística cuando se evalúan mediante índices agregados a nivel de la comunidad completa. Las plantas saludables mostraron, de manera consistente en los distintos análisis, una mayor diversidad y un mayor equilibrio microbiano, tanto en la diversidad alfa global como en la calculada por nivel taxonómico, mientras que las plantas no saludables exhibieron una mayor presencia relativa de taxones potencialmente asociados con enfermedad,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y una menor presencia de taxones como Oomycota, Peronosporaceae,</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w:t>
      </w:r>
      <w:r>
        <w:t xml:space="preserve">. No obstante,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presentes solo en un subconjunto reducido de taxones; en este caso, sin embargo, aislar la fracción eucariota, que incluye a</w:t>
      </w:r>
      <w:r>
        <w:t xml:space="preserve"> </w:t>
      </w:r>
      <w:r>
        <w:rPr>
          <w:iCs/>
          <w:i/>
        </w:rPr>
        <w:t xml:space="preserve">Fusarium</w:t>
      </w:r>
      <w:r>
        <w:t xml:space="preserve">, tampoco reveló una diferencia significativa, lo que sugiere que la señal, si existe, está en taxones concretos y no en la diversidad agregada de ningún reino.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Estos hallazgos son consistentes con la literatura reciente sobre microbiomas de fresa, que reporta diferencias taxonómicas específicas entre rizósferas saludables y no saludables (Nam et al., 2023; Siegieda et al., 2024), sin que ello implique diferencias de diversidad globalmente robustas. En conjunto, estos resultados refuerzan la idea de que el estado de salud de un cultivo no se refleja de manera uniforme en toda la comunidad microbiana, sino en subconjuntos taxonómicos específicos, lo que respalda metodológicamente la estrategia de exploración multinivel adoptada en este trabajo frente a un análisis limitado a la comunidad completa.</w:t>
      </w:r>
    </w:p>
    <w:p>
      <w:pPr>
        <w:pStyle w:val="BodyText"/>
      </w:pPr>
      <w:r>
        <w:t xml:space="preserve">Desde la perspectiva de la agricultura de precisión, los taxones biomarcadores candidatos, positivos como</w:t>
      </w:r>
      <w:r>
        <w:t xml:space="preserve"> </w:t>
      </w:r>
      <w:r>
        <w:rPr>
          <w:iCs/>
          <w:i/>
        </w:rPr>
        <w:t xml:space="preserve">Pseudomonas</w:t>
      </w:r>
      <w:r>
        <w:t xml:space="preserve">,</w:t>
      </w:r>
      <w:r>
        <w:t xml:space="preserve"> </w:t>
      </w:r>
      <w:r>
        <w:rPr>
          <w:iCs/>
          <w:i/>
        </w:rPr>
        <w:t xml:space="preserve">Bacillus</w:t>
      </w:r>
      <w:r>
        <w:t xml:space="preserve"> </w:t>
      </w:r>
      <w:r>
        <w:t xml:space="preserve">y</w:t>
      </w:r>
      <w:r>
        <w:t xml:space="preserve"> </w:t>
      </w:r>
      <w:r>
        <w:rPr>
          <w:iCs/>
          <w:i/>
        </w:rPr>
        <w:t xml:space="preserve">Paenibacillus polymyxa</w:t>
      </w:r>
      <w:r>
        <w:t xml:space="preserve">, y negativos como</w:t>
      </w:r>
      <w:r>
        <w:t xml:space="preserve"> </w:t>
      </w:r>
      <w:r>
        <w:rPr>
          <w:iCs/>
          <w:i/>
        </w:rPr>
        <w:t xml:space="preserve">Fusarium</w:t>
      </w:r>
      <w:r>
        <w:t xml:space="preserve">,</w:t>
      </w:r>
      <w:r>
        <w:t xml:space="preserve"> </w:t>
      </w:r>
      <w:r>
        <w:rPr>
          <w:iCs/>
          <w:i/>
        </w:rPr>
        <w:t xml:space="preserve">Phytophthora</w:t>
      </w:r>
      <w:r>
        <w:t xml:space="preserve"> </w:t>
      </w:r>
      <w:r>
        <w:t xml:space="preserve">y</w:t>
      </w:r>
      <w:r>
        <w:t xml:space="preserve"> </w:t>
      </w:r>
      <w:r>
        <w:rPr>
          <w:iCs/>
          <w:i/>
        </w:rPr>
        <w:t xml:space="preserve">Ralstonia</w:t>
      </w:r>
      <w:r>
        <w:t xml:space="preserve">, son un insumo de valor práctico para sistemas de monitoreo temprano de la salud del suelo y para la selección de microorganismos con potencial como bioinsumos o agentes de biocontrol.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que deben considerarse al interpretar sus resultados. El diseño es transversal y se basa en un único cultivo y una única fuente de datos, lo que limita la generalización a otros contextos agroecológicos. El tamaño de muestra es moderado y desbalanceado para pruebas de alta potencia, y no se aplicaron correcciones por comparaciones múltiples al evaluar varios niveles taxonómicos, por lo que los patrones identificados deben interpretarse como hipótesis por confirmar. Adicionalmente, los taxones diferenciadores se identificaron mediante inspección de las abundancias relativas y no mediante pruebas de abundancia diferencial que consideren la naturaleza composicional de los datos. Por último, aunque la diversidad filogenética (por ejemplo, mediante UniFrac) se consideró en el marco teórico del flujo propuesto, no se dispuso de un árbol filogenético asociado con los datos para su cálculo efectivo en este estudio, ya que la clasificación con Kraken proporciona una jerarquía taxonómica pero no longitudes de rama.</w:t>
      </w:r>
    </w:p>
    <w:p>
      <w:pPr>
        <w:pStyle w:val="BodyText"/>
      </w:pPr>
      <w:r>
        <w:t xml:space="preserve">Como líneas de trabajo futuro se propone, en primer lugar, la incorporación de modelos de aprendizaje automático supervisado, como los bosques aleatorios, entrenados sobre las abundancias taxonómicas multinivel, para construir clasificadores del estado de salud con mayor capacidad predictiva que los índices agregados. Este tipo de modelo es pertinente en escenarios de alta dimensionalidad y muestra moderada, por su robustez frente al sobreajuste y por sus medidas de importancia de variables, que permitirían priorizar los taxones biomarcadores; su evaluación requeriría validación cruzada y métricas como exactitud, sensibilidad, especificidad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el repositorio público https://github.com/CamilaSilva1995/Tesis_Maestria (carpeta Articulo_Popayan).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Paula Camila Silva Gómez:</w:t>
      </w:r>
      <w:r>
        <w:t xml:space="preserve"> </w:t>
      </w:r>
      <w:r>
        <w:t xml:space="preserve">conceptualización, curación de datos, análisis formal, investigación, metodología, software, visualización y redacción del borrador original.</w:t>
      </w:r>
      <w:r>
        <w:t xml:space="preserve"> </w:t>
      </w:r>
      <w:r>
        <w:rPr>
          <w:bCs/>
          <w:b/>
        </w:rPr>
        <w:t xml:space="preserve">Nelly Sélem Mojica:</w:t>
      </w:r>
      <w:r>
        <w:t xml:space="preserve"> </w:t>
      </w:r>
      <w:r>
        <w:t xml:space="preserve">conceptualización, supervisión, administración del proyecto, validación, redacción, revisión y edición.</w:t>
      </w:r>
      <w:r>
        <w:t xml:space="preserve"> </w:t>
      </w:r>
      <w:r>
        <w:rPr>
          <w:bCs/>
          <w:b/>
        </w:rPr>
        <w:t xml:space="preserve">José Alexander Fuentes Montoya:</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Asimismo, agradecen al Posgrado Conjunto en Ciencias Matemáticas UMSNH-UNAM por el apoyo académico brindado durante el desarrollo de esta investigación. [Fuentes de financiación por indicar antes del envío final.]</w:t>
      </w:r>
    </w:p>
    <w:p>
      <w:pPr>
        <w:pStyle w:val="BodyText"/>
      </w:pPr>
      <w:r>
        <w:rPr>
          <w:bCs/>
          <w:b/>
        </w:rPr>
        <w:t xml:space="preserve">REFERENCIAS BIBLIOGRÁFICAS</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6"/>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Posgrado Conjunto en Ciencias Matemáticas, Universidad Nacional Autónoma de México – Universidad Michoacana de San Nicolás de Hidalgo, Morelia, México. Contacto: csilva@universidadean.edu.co. ORCID: https://orcid.org/0009-0004-8054-2607</w:t>
      </w:r>
    </w:p>
  </w:footnote>
  <w:footnote w:id="24">
    <w:p>
      <w:pPr>
        <w:pStyle w:val="FootnoteText"/>
      </w:pPr>
      <w:r>
        <w:rPr>
          <w:rStyle w:val="FootnoteReference"/>
        </w:rPr>
        <w:footnoteRef/>
      </w:r>
      <w:r>
        <w:t xml:space="preserve"> </w:t>
      </w:r>
      <w:r>
        <w:t xml:space="preserve">Centro de Ciencias Matemáticas, Universidad Nacional Autónoma de México, Morelia, México. Contacto: nselem@matmor.unam.mx. ORCID: https://orcid.org/0000-0003-1697-3862</w:t>
      </w:r>
    </w:p>
  </w:footnote>
  <w:footnote w:id="25">
    <w:p>
      <w:pPr>
        <w:pStyle w:val="FootnoteText"/>
      </w:pPr>
      <w:r>
        <w:rPr>
          <w:rStyle w:val="FootnoteReference"/>
        </w:rPr>
        <w:footnoteRef/>
      </w:r>
      <w:r>
        <w:t xml:space="preserve"> </w:t>
      </w:r>
      <w:r>
        <w:t xml:space="preserve">Universidad EAN, Bogotá D.C., Colombia. Contacto: jamontoya.d@universidadean.edu.co. ORCID: https://orcid.org/0000-0001-6574-5677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2026-09-30T02:09:00Z</dcterms:created>
  <dcterms:modified xsi:type="dcterms:W3CDTF">2026-09-30T02:09:00Z</dcterms:modified>
</cp:coreProperties>
</file>

<file path=docProps/custom.xml><?xml version="1.0" encoding="utf-8"?>
<Properties xmlns="http://schemas.openxmlformats.org/officeDocument/2006/custom-properties" xmlns:vt="http://schemas.openxmlformats.org/officeDocument/2006/docPropsVTypes"/>
</file>