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Autor 1</w:t>
      </w:r>
    </w:p>
    <w:p>
      <w:pPr>
        <w:pStyle w:val="BodyText"/>
      </w:pPr>
      <w:r>
        <w:rPr>
          <w:bCs/>
          <w:b/>
        </w:rPr>
        <w:t xml:space="preserve">Autor 2</w:t>
      </w:r>
    </w:p>
    <w:p>
      <w:pPr>
        <w:pStyle w:val="BodyText"/>
      </w:pPr>
      <w:r>
        <w:rPr>
          <w:bCs/>
          <w:b/>
        </w:rPr>
        <w:t xml:space="preserve">Autor 3</w:t>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de plantas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y equilibrio, mientras que las no saludables presentaron mayor abundancia relativa de taxones asociados con enfermedad. Sin embargo, las diferencias globales no alcanzaron significancia estadística; solo la diversidad de géneros de eucariotas, grupo que incluye a</w:t>
      </w:r>
      <w:r>
        <w:t xml:space="preserve"> </w:t>
      </w:r>
      <w:r>
        <w:rPr>
          <w:iCs/>
          <w:i/>
        </w:rPr>
        <w:t xml:space="preserve">Fusarium</w:t>
      </w:r>
      <w:r>
        <w:t xml:space="preserve">, difirió significativamente entre grupos. El flujo propuesto es una base metodológica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and a more balanced community, whereas unhealthy plants exhibited a higher relative abundance of disease-associated taxa. However, global differences did not reach statistical significance; only the diversity of eukaryotic genera, a group that includes</w:t>
      </w:r>
      <w:r>
        <w:t xml:space="preserve"> </w:t>
      </w:r>
      <w:r>
        <w:rPr>
          <w:iCs/>
          <w:i/>
        </w:rPr>
        <w:t xml:space="preserve">Fusarium</w:t>
      </w:r>
      <w:r>
        <w:t xml:space="preserve">, differed significantly between groups. The proposed workflow provides a methodological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e equilíbrio, enquanto as não saudáveis apresentaram maior abundância relativa de táxons associados a doenças. No entanto, as diferenças globais não alcançaram significância estatística; apenas a diversidade de gêneros de eucariotos, grupo que inclui</w:t>
      </w:r>
      <w:r>
        <w:t xml:space="preserve"> </w:t>
      </w:r>
      <w:r>
        <w:rPr>
          <w:iCs/>
          <w:i/>
        </w:rPr>
        <w:t xml:space="preserve">Fusarium</w:t>
      </w:r>
      <w:r>
        <w:t xml:space="preserve">, diferiu significativamente entre os grupos. O fluxo proposto é uma base metodológica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En los últimos años, varios estudios han documentado diferencias taxonómicas consistentes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junto con la familia Nitrosomonadaceae, tienden a ser más abundantes en rizósferas no saludables, mientras que taxones como Tepidisphaerales e</w:t>
      </w:r>
      <w:r>
        <w:t xml:space="preserve"> </w:t>
      </w:r>
      <w:r>
        <w:rPr>
          <w:iCs/>
          <w:i/>
        </w:rPr>
        <w:t xml:space="preserve">Hydrocarboniphaga</w:t>
      </w:r>
      <w:r>
        <w:t xml:space="preserve"> </w:t>
      </w:r>
      <w:r>
        <w:t xml:space="preserve">se asocian con condiciones saludables (Siegieda et al., 2024). Asimismo, se ha reportado que consorcios de rizobacterias promotoras del crecimiento vegetal (PGPR), como</w:t>
      </w:r>
      <w:r>
        <w:t xml:space="preserve"> </w:t>
      </w:r>
      <w:r>
        <w:rPr>
          <w:iCs/>
          <w:i/>
        </w:rPr>
        <w:t xml:space="preserve">Bacillus subtilis</w:t>
      </w:r>
      <w:r>
        <w:t xml:space="preserve">,</w:t>
      </w:r>
      <w:r>
        <w:t xml:space="preserve"> </w:t>
      </w:r>
      <w:r>
        <w:rPr>
          <w:iCs/>
          <w:i/>
        </w:rPr>
        <w:t xml:space="preserve">Bacillus amyloliquefaciens</w:t>
      </w:r>
      <w:r>
        <w:t xml:space="preserve"> </w:t>
      </w:r>
      <w:r>
        <w:t xml:space="preserve">y</w:t>
      </w:r>
      <w:r>
        <w:t xml:space="preserve"> </w:t>
      </w:r>
      <w:r>
        <w:rPr>
          <w:iCs/>
          <w:i/>
        </w:rPr>
        <w:t xml:space="preserve">Pseudomonas monteilii</w:t>
      </w:r>
      <w:r>
        <w:t xml:space="preserve">, modifican favorablemente el microbioma del suelo y la calidad del fruto (Nam et al., 2023), mientras que microorganismos fitopatógenos como</w:t>
      </w:r>
      <w:r>
        <w:t xml:space="preserve"> </w:t>
      </w:r>
      <w:r>
        <w:rPr>
          <w:iCs/>
          <w:i/>
        </w:rPr>
        <w:t xml:space="preserve">Fusarium</w:t>
      </w:r>
      <w:r>
        <w:t xml:space="preserve"> </w:t>
      </w:r>
      <w:r>
        <w:t xml:space="preserve">spp.,</w:t>
      </w:r>
      <w:r>
        <w:t xml:space="preserve"> </w:t>
      </w:r>
      <w:r>
        <w:rPr>
          <w:iCs/>
          <w:i/>
        </w:rPr>
        <w:t xml:space="preserve">Phytophthora</w:t>
      </w:r>
      <w:r>
        <w:t xml:space="preserve"> </w:t>
      </w:r>
      <w:r>
        <w:t xml:space="preserve">spp. o</w:t>
      </w:r>
      <w:r>
        <w:t xml:space="preserve"> </w:t>
      </w:r>
      <w:r>
        <w:rPr>
          <w:iCs/>
          <w:i/>
        </w:rPr>
        <w:t xml:space="preserve">Botrytis cinerea</w:t>
      </w:r>
      <w:r>
        <w:t xml:space="preserve"> </w:t>
      </w:r>
      <w:r>
        <w:t xml:space="preserve">se han vinculado de manera recurrente con procesos de marchitez y pudrición radicular en este cultivo (Yang et al., 2020).</w:t>
      </w:r>
    </w:p>
    <w:p>
      <w:pPr>
        <w:pStyle w:val="BodyText"/>
      </w:pPr>
      <w:r>
        <w:t xml:space="preserve">Estos hallazgos plantean una pregunta metodológica de fondo: ¿en qué medida las herramientas estadísticas convencionales, es decir, los índices de diversidad y la inferencia basada en pruebas de hipótesis, permiten capturar y validar formalmente las diferencias observadas a nivel taxonómico, considerando el tamaño de muestra moderado, la alta dimensionalidad y la naturaleza composicional propios de los estudios metagenómicos agrícolas? Responder esta pregunta exige no solo calcular los índices convencionales de diversidad alfa y beta, sino también evaluar su capacidad discriminante mediante pruebas de hipótesis paramétricas y no paramétricas, y explorar la estructura de los datos en distintos niveles jerárquicos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versionado y documentado, cuyos scripts y cuadernos de análisis están organizados por etapa, que puede ejecutarse de nuevo sobre nuevos conjuntos de datos o cultivos, y que constituye una base de ingeniería sobre la cual construir clasificadores automáticos del estado de salud de las plantas.</w:t>
      </w:r>
    </w:p>
    <w:p>
      <w:pPr>
        <w:pStyle w:val="BodyText"/>
      </w:pPr>
      <w:r>
        <w:t xml:space="preserve">A diferencia de los estudios que se limitan a reportar diferencias descriptivas de abundancia entre grupos, este trabajo enfatiza la validación estadística formal de tales diferencias. Como se mostrará más adelante, la ausencia de significancia estadística a nivel global no invalida la existencia de patrones biológicamente relevantes en niveles taxonómicos más finos, una distinción metodológica con implicaciones directas para el diseño de futuros estudios y modelos predictivos en este dominio.</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de forma reproducible utilizando Bash para la orquestación y el formateo de los datos, y R con RStudio, con el paquete phyloseq como componente central, para el análisis estadístico y la visualización.</w:t>
      </w:r>
    </w:p>
    <w:bookmarkStart w:id="23" w:name="X9bdce1a286f1356cc2754477c6933f062851b1c"/>
    <w:p>
      <w:pPr>
        <w:pStyle w:val="Heading1"/>
      </w:pPr>
      <w:r>
        <w:t xml:space="preserve">Arquitectura computacional, estructuras de datos y reproducibilidad</w:t>
      </w:r>
    </w:p>
    <w:p>
      <w:pPr>
        <w:pStyle w:val="FirstParagraph"/>
      </w:pPr>
      <w:r>
        <w:t xml:space="preserve">Desde la perspectiva de la ingeniería de software, el flujo se implementó como una colección de scripts y cuadernos R Markdown numerados e independientes, uno por etapa, en la que cada módulo carga explícitamente su entrada, ejecuta una transformación bien delimitada y persiste sus salidas, ya sean figuras o tablas intermedias. Esta descomposición modular favorece la trazabilidad, la depuración y la reejecución selectiva, y permite tratar el análisis como un artefacto reproducible y versionable, en lugar de una secuencia de operaciones interactivas irrepetibles.</w:t>
      </w:r>
    </w:p>
    <w:p>
      <w:pPr>
        <w:pStyle w:val="BodyText"/>
      </w:pPr>
      <w:r>
        <w:t xml:space="preserve">La estructura de datos central es el objeto phyloseq (McMurdie y Holmes, 2013), un contenedor que integra de manera coherente cuatro componentes: la matriz de conteos (taxón × muestra), la tabla de taxonomía, que codifica la jerarquía reino → filo → clase → orden → familia → género → especie, los metadatos de las muestras y, cuando está disponible, el árbol filogenético. La matriz de conteos, altamente dispersa, se almacena e intercambia mediante el formato BIOM (McDonald et al., 2012), un estándar basado en JSON o HDF5 optimizado para matrices de observaciones biológicas de gran tamaño. Las operaciones del flujo, aglomeración por rango taxonómico, transformación a abundancias relativas y cálculo de matrices de disimilitud entre pares de muestras, tienen costos computacionales bien caracterizados; en particular, el cálculo de la diversidad beta es cuadrático en el número de muestras, del orden de O(n²·p) para n muestras y p taxones, lo que motiva las decisiones de filtrado y aglomeración adoptadas para mantener el análisis tratable.</w:t>
      </w:r>
    </w:p>
    <w:p>
      <w:pPr>
        <w:pStyle w:val="BodyText"/>
      </w:pPr>
      <w:r>
        <w:t xml:space="preserve">Para garantizar la reproducibilidad, todas las rutas se resolvieron de forma relativa a la raíz del proyecto, se fijó una semilla aleatoria en las etapas estocásticas que se reportan, como las ordenaciones NMDS, y se registraron las versiones de R y de los paquetes utilizados. El código completo se distribuye en un repositorio público con control de versiones, organizado por etapa y acompañado de documentación, de modo que los resultados y las figuras reportados puedan regenerarse a partir de los mismos datos de entrada.</w:t>
      </w:r>
    </w:p>
    <w:bookmarkEnd w:id="23"/>
    <w:bookmarkStart w:id="24"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Solena Ag, una compañía de biotecnología agrícola (AgTech) enfocada en el análisis y la mejora del microbioma del suelo mediante datos moleculares e inteligencia artificial.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que suelen apoyarse en plataformas como QIIME 2 (Bolyen et al., 2019) y en bases de datos de referencia curadas como SILVA (Quast et al., 2013), este estudio partió de una clasificación taxonómica de tipo</w:t>
      </w:r>
      <w:r>
        <w:t xml:space="preserve"> </w:t>
      </w:r>
      <w:r>
        <w:rPr>
          <w:iCs/>
          <w:i/>
        </w:rPr>
        <w:t xml:space="preserve">shotgun</w:t>
      </w:r>
      <w:r>
        <w:t xml:space="preserve"> </w:t>
      </w:r>
      <w:r>
        <w:t xml:space="preserve">generada con Kraken sobre la taxonomía del NCBI, lo que condiciona las decisiones de preprocesamiento que se describen a continuación.</w:t>
      </w:r>
    </w:p>
    <w:bookmarkEnd w:id="24"/>
    <w:bookmarkStart w:id="25"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de calidad, el porcentaje de bases con calidad Phred superior a 30 antes y después del filtrado, el número de lecturas de baja calidad, el número de lecturas descartadas por contener bases ambiguas (</w:t>
      </w:r>
      <w:r>
        <w:t xml:space="preserve">“</w:t>
      </w:r>
      <w:r>
        <w:t xml:space="preserve">N</w:t>
      </w:r>
      <w:r>
        <w:t xml:space="preserve">”</w:t>
      </w:r>
      <w:r>
        <w:t xml:space="preserve">), el número de lecturas descartadas por longitud insuficiente, el porcentaje de duplicación, la longitud promedio de las lecturas (R1 y R2) y el porcentaje de lecturas efectivamente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estándar BIOM (</w:t>
      </w:r>
      <w:r>
        <w:rPr>
          <w:iCs/>
          <w:i/>
        </w:rPr>
        <w:t xml:space="preserve">Biological Observation Matrix</w:t>
      </w:r>
      <w:r>
        <w:t xml:space="preserve">; McDonald et al., 2012)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5"/>
    <w:bookmarkStart w:id="26"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pPr>
      <w:r>
        <w:rPr>
          <w:rFonts w:ascii="Times New Roman" w:hAnsi="Times New Roman" w:cs="Times New Roman"/>
          <w:sz w:val="24"/>
        </w:rPr>
        <w:tab/>
        <w:t xml:space="preserve">S</w:t>
      </w:r>
      <w:r>
        <w:rPr>
          <w:rFonts w:ascii="Times New Roman" w:hAnsi="Times New Roman" w:cs="Times New Roman"/>
          <w:sz w:val="24"/>
          <w:vertAlign w:val="subscript"/>
        </w:rPr>
        <w:t>Chao1</w:t>
      </w:r>
      <w:r>
        <w:rPr>
          <w:rFonts w:ascii="Times New Roman" w:hAnsi="Times New Roman" w:cs="Times New Roman"/>
          <w:sz w:val="24"/>
        </w:rPr>
        <w:t xml:space="preserve"> = S</w:t>
      </w:r>
      <w:r>
        <w:rPr>
          <w:rFonts w:ascii="Times New Roman" w:hAnsi="Times New Roman" w:cs="Times New Roman"/>
          <w:sz w:val="24"/>
          <w:vertAlign w:val="subscript"/>
        </w:rPr>
        <w:t>obs</w:t>
      </w:r>
      <w:r>
        <w:rPr>
          <w:rFonts w:ascii="Times New Roman" w:hAnsi="Times New Roman" w:cs="Times New Roman"/>
          <w:sz w:val="24"/>
        </w:rPr>
        <w:t xml:space="preserve"> + F₁(F₁ − 1) / [2(F₂ + 1)]</w:t>
      </w:r>
      <w:r>
        <w:rPr>
          <w:rFonts w:ascii="Times New Roman" w:hAnsi="Times New Roman" w:cs="Times New Roman"/>
          <w:sz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pPr>
      <w:r>
        <w:rPr>
          <w:rFonts w:ascii="Times New Roman" w:hAnsi="Times New Roman" w:cs="Times New Roman"/>
          <w:sz w:val="24"/>
        </w:rPr>
        <w:tab/>
        <w:t xml:space="preserve">H = −Σ pᵢ ln pᵢ</w:t>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pPr>
      <w:r>
        <w:rPr>
          <w:rFonts w:ascii="Times New Roman" w:hAnsi="Times New Roman" w:cs="Times New Roman"/>
          <w:sz w:val="24"/>
        </w:rPr>
        <w:tab/>
        <w:t xml:space="preserve">D = 1 − Σ pᵢ²</w:t>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6"/>
    <w:bookmarkStart w:id="27"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escalamiento multidimensional no métrico (NMDS). Al igual que en la diversidad alfa, este análisis se replicó tanto a nivel de la comunidad completa como en los subconjuntos taxonómicos por reino, filo, familia, género y especie.</w:t>
      </w:r>
    </w:p>
    <w:bookmarkEnd w:id="27"/>
    <w:bookmarkStart w:id="28" w:name="exploración-taxonómica-multinivel"/>
    <w:p>
      <w:pPr>
        <w:pStyle w:val="Heading1"/>
      </w:pPr>
      <w:r>
        <w:t xml:space="preserve">Exploración taxonómica multinivel</w:t>
      </w:r>
    </w:p>
    <w:p>
      <w:pPr>
        <w:pStyle w:val="FirstParagraph"/>
      </w:pPr>
      <w:r>
        <w:t xml:space="preserve">Se generaron gráficos de barras de abundancia absoluta y relativa, con las muestras en el eje horizontal y la abundancia en el eje vertical, diferenciando visualmente las muestras saludables de las no saludables. Este análisis se realizó de manera jerárquica: primero a nivel del conjunto completo de datos (filo) y posteriormente, de forma independiente, para los subconjuntos Bacteria y Eukaryota en los niveles de filo, familia, género y especie, con el fin de identificar taxones cuya abundancia relativa difiriera de manera visualmente consistente entre los dos estados de salud.</w:t>
      </w:r>
    </w:p>
    <w:bookmarkEnd w:id="28"/>
    <w:bookmarkStart w:id="29"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En todos los casos se utilizó un nivel de significancia α = 0.05.</w:t>
      </w:r>
    </w:p>
    <w:bookmarkEnd w:id="29"/>
    <w:bookmarkStart w:id="30"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 para inspeccionar si la conectividad por sí sola revelaba una separación entre estados de salud. Todo el código de preprocesamiento, cálculo de índices y pruebas estadísticas se documentó en cuadernos R Markdown y scripts de Bash reproducibles, lo que permite auditar y replicar cada uno de los resultados que se reportan en la siguiente sección.</w:t>
      </w:r>
    </w:p>
    <w:p>
      <w:pPr>
        <w:pStyle w:val="BodyText"/>
      </w:pPr>
      <w:r>
        <w:rPr>
          <w:bCs/>
          <w:b/>
        </w:rPr>
        <w:t xml:space="preserve">RESULTADOS</w:t>
      </w:r>
    </w:p>
    <w:bookmarkEnd w:id="30"/>
    <w:bookmarkStart w:id="34" w:name="X4dd5885cca29ce53514b06d1e235720d5fb96df"/>
    <w:p>
      <w:pPr>
        <w:pStyle w:val="Heading1"/>
      </w:pPr>
      <w:r>
        <w:t xml:space="preserve">Efecto del control de calidad sobre la diversidad alfa</w:t>
      </w:r>
    </w:p>
    <w:p>
      <w:pPr>
        <w:pStyle w:val="FirstParagraph"/>
      </w:pPr>
      <w:r>
        <w:t xml:space="preserve">Antes de aplicar el filtro de calidad, la diversidad alfa observada en los cuatro índices (riqueza observada, Chao1, Shannon y Simpson) era prácticamente indistinguible entre los grupos saludable y no saludable, debido a la influencia de un número reducido de muestras con profundidades de secuenciación extremadamente bajas, que comprimían visualmente la escala de todos los gráficos (Figura 1A). Tras eliminar las cinco muestras de baja calidad, la separación entre grupos se hizo considerablemente más clara (Figura 1B): las muestras saludables mostraron una tendencia hacia una mayor diversidad, particularmente evidente en el estimador Chao1, que al incorporar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permitió apreciar con mayor nitidez la diferencia de riqueza entre grupos. Cabe señalar que, aunque esta diferencia fue perceptible visualmente, su magnitud no fue marcadamente grande, lo que anticipó los resultados no concluyentes de las pruebas de hipótesis presentadas más adelante.</w:t>
      </w:r>
    </w:p>
    <w:p>
      <w:pPr>
        <w:spacing w:before="120" w:after="60"/>
        <w:jc w:val="center"/>
      </w:pPr>
      <w:r>
        <w:drawing>
          <wp:inline>
            <wp:extent cx="5334000" cy="2666247"/>
            <wp:effectExtent b="0" l="0" r="0" t="0"/>
            <wp:docPr descr="" title="" id="32" name="Picture"/>
            <a:graphic>
              <a:graphicData uri="http://schemas.openxmlformats.org/drawingml/2006/picture">
                <pic:pic>
                  <pic:nvPicPr>
                    <pic:cNvPr descr="figuras/Figura1_DiversidadAlfa.jpg" id="33" name="Picture"/>
                    <pic:cNvPicPr>
                      <a:picLocks noChangeArrowheads="1" noChangeAspect="1"/>
                    </pic:cNvPicPr>
                  </pic:nvPicPr>
                  <pic:blipFill>
                    <a:blip r:embed="rId31"/>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4"/>
    <w:bookmarkStart w:id="38"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5334000" cy="2843896"/>
            <wp:effectExtent b="0" l="0" r="0" t="0"/>
            <wp:docPr descr="" title="" id="36" name="Picture"/>
            <a:graphic>
              <a:graphicData uri="http://schemas.openxmlformats.org/drawingml/2006/picture">
                <pic:pic>
                  <pic:nvPicPr>
                    <pic:cNvPr descr="figuras/Figura2_DiversidadBeta.jpg" id="37" name="Picture"/>
                    <pic:cNvPicPr>
                      <a:picLocks noChangeArrowheads="1" noChangeAspect="1"/>
                    </pic:cNvPicPr>
                  </pic:nvPicPr>
                  <pic:blipFill>
                    <a:blip r:embed="rId35"/>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de las cinco medidas se observa una separación nítida entre las muestras saludables (rojo) y no saludables (turquesa), lo que indica una amplia superposición en la composición microbiana global entre ambos grupos. Elaboración propia a partir de datos de Solena Ag.</w:t>
      </w:r>
    </w:p>
    <w:bookmarkEnd w:id="38"/>
    <w:bookmarkStart w:id="42"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5334000" cy="3378350"/>
            <wp:effectExtent b="0" l="0" r="0" t="0"/>
            <wp:docPr descr="" title="" id="40" name="Picture"/>
            <a:graphic>
              <a:graphicData uri="http://schemas.openxmlformats.org/drawingml/2006/picture">
                <pic:pic>
                  <pic:nvPicPr>
                    <pic:cNvPr descr="figuras/Figura3_AbundanciaFilo.jpg" id="41" name="Picture"/>
                    <pic:cNvPicPr>
                      <a:picLocks noChangeArrowheads="1" noChangeAspect="1"/>
                    </pic:cNvPicPr>
                  </pic:nvPicPr>
                  <pic:blipFill>
                    <a:blip r:embed="rId39"/>
                    <a:stretch>
                      <a:fillRect/>
                    </a:stretch>
                  </pic:blipFill>
                  <pic:spPr bwMode="auto">
                    <a:xfrm>
                      <a:off x="0" y="0"/>
                      <a:ext cx="5334000" cy="3378350"/>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2"/>
    <w:bookmarkStart w:id="46"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taxonómica identificó taxones eucariotas, entre ellos</w:t>
      </w:r>
      <w:r>
        <w:t xml:space="preserve"> </w:t>
      </w:r>
      <w:r>
        <w:rPr>
          <w:iCs/>
          <w:i/>
        </w:rPr>
        <w:t xml:space="preserve">Fusarium</w:t>
      </w:r>
      <w:r>
        <w:t xml:space="preserve"> </w:t>
      </w:r>
      <w:r>
        <w:t xml:space="preserve">y</w:t>
      </w:r>
      <w:r>
        <w:t xml:space="preserve"> </w:t>
      </w:r>
      <w:r>
        <w:rPr>
          <w:iCs/>
          <w:i/>
        </w:rPr>
        <w:t xml:space="preserve">Phytophthora</w:t>
      </w:r>
      <w:r>
        <w:t xml:space="preserve">, con mayor presencia relativa en las muestras no saludables, en concordancia con su papel documentado como fitopatógenos de la fresa (Yang et al., 2020).</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cuya presencia relativa mostró un patrón más definido en las muestras saludables (Figura 4). En concordancia con reportes previos en fresa, la exploración taxonómica también identificó una mayor presencia relativa de géneros con potencial patogénico, como</w:t>
      </w:r>
      <w:r>
        <w:t xml:space="preserve"> </w:t>
      </w:r>
      <w:r>
        <w:rPr>
          <w:iCs/>
          <w:i/>
        </w:rPr>
        <w:t xml:space="preserve">Ralstonia</w:t>
      </w:r>
      <w:r>
        <w:t xml:space="preserve">, en muestras no saludables, y de géneros benéficos, como</w:t>
      </w:r>
      <w:r>
        <w:t xml:space="preserve"> </w:t>
      </w:r>
      <w:r>
        <w:rPr>
          <w:iCs/>
          <w:i/>
        </w:rPr>
        <w:t xml:space="preserve">Pseudomonas</w:t>
      </w:r>
      <w:r>
        <w:t xml:space="preserve"> </w:t>
      </w:r>
      <w:r>
        <w:t xml:space="preserve">y</w:t>
      </w:r>
      <w:r>
        <w:t xml:space="preserve"> </w:t>
      </w:r>
      <w:r>
        <w:rPr>
          <w:iCs/>
          <w:i/>
        </w:rPr>
        <w:t xml:space="preserve">Bacillus</w:t>
      </w:r>
      <w:r>
        <w:t xml:space="preserve">, en muestras saludables (Nam et al., 2023; Siegieda et al., 2024).</w:t>
      </w:r>
    </w:p>
    <w:p>
      <w:pPr>
        <w:spacing w:before="120" w:after="60"/>
        <w:jc w:val="center"/>
      </w:pPr>
      <w:r>
        <w:drawing>
          <wp:inline>
            <wp:extent cx="5334000" cy="3021546"/>
            <wp:effectExtent b="0" l="0" r="0" t="0"/>
            <wp:docPr descr="" title="" id="44" name="Picture"/>
            <a:graphic>
              <a:graphicData uri="http://schemas.openxmlformats.org/drawingml/2006/picture">
                <pic:pic>
                  <pic:nvPicPr>
                    <pic:cNvPr descr="figuras/Figura4_ComposicionBacteriana.jpg" id="45" name="Picture"/>
                    <pic:cNvPicPr>
                      <a:picLocks noChangeArrowheads="1" noChangeAspect="1"/>
                    </pic:cNvPicPr>
                  </pic:nvPicPr>
                  <pic:blipFill>
                    <a:blip r:embed="rId43"/>
                    <a:stretch>
                      <a:fillRect/>
                    </a:stretch>
                  </pic:blipFill>
                  <pic:spPr bwMode="auto">
                    <a:xfrm>
                      <a:off x="0" y="0"/>
                      <a:ext cx="5334000" cy="3021546"/>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 presencia diferenciada de</w:t>
      </w:r>
      <w:r>
        <w:t xml:space="preserve"> </w:t>
      </w:r>
      <w:r>
        <w:rPr>
          <w:iCs/>
          <w:i/>
        </w:rPr>
        <w:t xml:space="preserve">Paenibacillus polymyxa</w:t>
      </w:r>
      <w:r>
        <w:t xml:space="preserve">. Elaboración propia a partir de datos de Solena Ag.</w:t>
      </w:r>
    </w:p>
    <w:p>
      <w:pPr>
        <w:pStyle w:val="BodyText"/>
      </w:pPr>
      <w:r>
        <w:t xml:space="preserve">En cuanto a la diversidad, tanto alfa como beta, calculada dentro de cada nivel taxonómico, la diversidad alfa de Eukaryota reveló una microbiota más equilibrada en las plantas saludables frente a una mayor dominancia de taxones potencialmente patógenos en las no saludables, mientras que la diversidad alfa de Bacteria mostró un patrón similar, con mayor diversidad y equilibrio en las muestras saludables en todos los niveles taxonómicos evaluados.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lo que refuerza el valor de la desagregación taxonómica frente al análisis de la comunidad completa como estrategia para identificar biomarcadores candidatos.</w:t>
      </w:r>
    </w:p>
    <w:bookmarkEnd w:id="46"/>
    <w:bookmarkStart w:id="53" w:name="pruebas-de-hipótesis-1"/>
    <w:p>
      <w:pPr>
        <w:pStyle w:val="Heading1"/>
      </w:pPr>
      <w:r>
        <w:t xml:space="preserve">Pruebas de hipótesis</w:t>
      </w:r>
    </w:p>
    <w:p>
      <w:pPr>
        <w:pStyle w:val="FirstParagraph"/>
      </w:pPr>
      <w:r>
        <w:t xml:space="preserve">La prueba t de Student sobre el índice de Shannon a nivel de la comunidad completa no aportó evidencia estadística suficiente para rechazar la hipótesis nula de igualdad de medias entre los grupos saludable y no saludable: asumiendo varianzas iguales, el valor p fue mayor que 0.05, y asumiendo varianzas distintas (prueba de Welch), el valor p fue de 0.1501. Es decir, aunque las muestras saludables mostraron visualmente una diversidad promedio mayor, esta diferencia no alcanzó significancia estadística al nivel α = 0.05 considerado.</w:t>
      </w:r>
    </w:p>
    <w:p>
      <w:pPr>
        <w:pStyle w:val="BodyText"/>
      </w:pPr>
      <w:r>
        <w:t xml:space="preserve">En contraste, al restringir el análisis al índice de Shannon calculado sobre los géneros de eucariotas, grupo que incluye a</w:t>
      </w:r>
      <w:r>
        <w:t xml:space="preserve"> </w:t>
      </w:r>
      <w:r>
        <w:rPr>
          <w:iCs/>
          <w:i/>
        </w:rPr>
        <w:t xml:space="preserve">Fusarium</w:t>
      </w:r>
      <w:r>
        <w:t xml:space="preserve">, ambas versiones de la prueba t (varianzas iguales y distintas) mostraron diferencias estadísticamente significativas entre los grupos saludable y no saludable, con el grupo saludable presentando una distribución más amplia y una diversidad promedio mayor (Figura 5). Asumiendo varianzas iguales, el estadístico fue t = 3.31 con 51 grados de libertad y un valor p de 0.0017; asumiendo varianzas distintas, t = 2.71 con 21 grados de libertad y un valor p de 0.0130. En ambos casos el intervalo de confianza del 95 % para la diferencia de medias excluyó el cero. Este resultado, restringido a un subconjunto taxonómico específico, contrasta con el resultado no significativo obtenido a nivel de la comunidad completa, e ilustra que las señales asociadas con taxones particulares pueden diluirse cuando se agregan en índices calculados sobre toda la comunidad.</w:t>
      </w:r>
    </w:p>
    <w:p>
      <w:pPr>
        <w:spacing w:before="120" w:after="60"/>
        <w:jc w:val="center"/>
      </w:pPr>
      <w:r>
        <w:drawing>
          <wp:inline>
            <wp:extent cx="5334000" cy="2843896"/>
            <wp:effectExtent b="0" l="0" r="0" t="0"/>
            <wp:docPr descr="" title="" id="48" name="Picture"/>
            <a:graphic>
              <a:graphicData uri="http://schemas.openxmlformats.org/drawingml/2006/picture">
                <pic:pic>
                  <pic:nvPicPr>
                    <pic:cNvPr descr="figuras/Figura5_tStudent_Fusarium.jpg" id="49" name="Picture"/>
                    <pic:cNvPicPr>
                      <a:picLocks noChangeArrowheads="1" noChangeAspect="1"/>
                    </pic:cNvPicPr>
                  </pic:nvPicPr>
                  <pic:blipFill>
                    <a:blip r:embed="rId47"/>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 los valores del índice de Shannon en los grupos saludable y no saludable, con la media de cada grupo indicada por la línea punteada. B) Distribución t bajo el supuesto de varianzas iguales (t calculado = 3.31, gl = 51); el estadístico observado cae en la región de rechazo (α = 0.05). C) Distribución t bajo el supuesto de varianzas distintas (t calculado = 2.71, gl = 21); el estadístico observado también cae en la región de rechazo.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no paramétrico corrobora la conclusión obtenida con la prueba t: con el tamaño de muestra disponible no fue posible establecer una diferencia globalmente significativa en la diversidad de Shannon entre plantas saludables y no saludables, mientras que la señal específica de la comunidad de géneros eucariotas sí resultó significativa.</w:t>
      </w:r>
    </w:p>
    <w:p>
      <w:pPr>
        <w:spacing w:before="120" w:after="60"/>
        <w:jc w:val="center"/>
      </w:pPr>
      <w:r>
        <w:drawing>
          <wp:inline>
            <wp:extent cx="5334000" cy="2666247"/>
            <wp:effectExtent b="0" l="0" r="0" t="0"/>
            <wp:docPr descr="" title="" id="51" name="Picture"/>
            <a:graphic>
              <a:graphicData uri="http://schemas.openxmlformats.org/drawingml/2006/picture">
                <pic:pic>
                  <pic:nvPicPr>
                    <pic:cNvPr descr="figuras/Figura6_Wilcoxon_Shannon.jpg" id="52" name="Picture"/>
                    <pic:cNvPicPr>
                      <a:picLocks noChangeArrowheads="1" noChangeAspect="1"/>
                    </pic:cNvPicPr>
                  </pic:nvPicPr>
                  <pic:blipFill>
                    <a:blip r:embed="rId50"/>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consistentes y de patrones taxonómicos diferenciadores plausibles que, sin embargo, no siempre alcanzan significancia estadística cuando se evalúan mediante índices agregados a nivel de la comunidad completa. Las plantas saludables mostraron, de manera consistente en los distintos análisis, una mayor diversidad y un mayor equilibrio microbiano, tanto en la diversidad alfa global como en la calculada por nivel taxonómico, mientras que las plantas no saludables exhibieron una mayor presencia relativa de taxones potencialmente asociados con enfermedad,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y una menor presencia de taxones como Oomycota, Peronosporaceae,</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w:t>
      </w:r>
      <w:r>
        <w:t xml:space="preserve">. No obstante, ni la diversidad alfa global (Chao1, Shannon, Simpson) ni la diversidad beta global (Bray-Curtis, Jaccard, Euclidiana, Manhattan, Jensen-Shannon) permitieron una separación estadísticamente robusta entre grupos, y las pruebas de hipótesis sobre el índice de Shannon a nivel de la comunidad completa, tanto la t de Student como la de Mann-Whitney,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que son fuertes solo en un subconjunto reducido de taxones, como lo evidencia la comunidad de géneros eucariotas, que incluye a</w:t>
      </w:r>
      <w:r>
        <w:t xml:space="preserve"> </w:t>
      </w:r>
      <w:r>
        <w:rPr>
          <w:iCs/>
          <w:i/>
        </w:rPr>
        <w:t xml:space="preserve">Fusarium</w:t>
      </w:r>
      <w:r>
        <w:t xml:space="preserve">, cuya diferencia de diversidad sí resultó significativa al analizarse por separado.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agrícolas están sujetos a múltiples fuentes de variabilidad no controladas en este estudio, como la variación entre lotes de cultivo, las prácticas de manejo y las condiciones edafoclimáticas, que pueden introducir ruido adicional sobre la señal estrictamente asociada con el estado de salud de la planta.</w:t>
      </w:r>
    </w:p>
    <w:p>
      <w:pPr>
        <w:pStyle w:val="BodyText"/>
      </w:pPr>
      <w:r>
        <w:t xml:space="preserve">Estos hallazgos son consistentes con la literatura reciente sobre microbiomas de fresa, que reporta diferencias taxonómicas específicas entre rizósferas saludables y no saludables, incluidos taxones benéficos como</w:t>
      </w:r>
      <w:r>
        <w:t xml:space="preserve"> </w:t>
      </w:r>
      <w:r>
        <w:rPr>
          <w:iCs/>
          <w:i/>
        </w:rPr>
        <w:t xml:space="preserve">Pseudomonas monteilii</w:t>
      </w:r>
      <w:r>
        <w:t xml:space="preserve">,</w:t>
      </w:r>
      <w:r>
        <w:t xml:space="preserve"> </w:t>
      </w:r>
      <w:r>
        <w:rPr>
          <w:iCs/>
          <w:i/>
        </w:rPr>
        <w:t xml:space="preserve">Bacillus subtilis</w:t>
      </w:r>
      <w:r>
        <w:t xml:space="preserve"> </w:t>
      </w:r>
      <w:r>
        <w:t xml:space="preserve">y</w:t>
      </w:r>
      <w:r>
        <w:t xml:space="preserve"> </w:t>
      </w:r>
      <w:r>
        <w:rPr>
          <w:iCs/>
          <w:i/>
        </w:rPr>
        <w:t xml:space="preserve">Bacillus amyloliquefaciens</w:t>
      </w:r>
      <w:r>
        <w:t xml:space="preserve"> </w:t>
      </w:r>
      <w:r>
        <w:t xml:space="preserve">(Nam et al., 2023) y taxones biomarcadores de disbiosis como</w:t>
      </w:r>
      <w:r>
        <w:t xml:space="preserve"> </w:t>
      </w:r>
      <w:r>
        <w:rPr>
          <w:iCs/>
          <w:i/>
        </w:rPr>
        <w:t xml:space="preserve">Udaeobacter</w:t>
      </w:r>
      <w:r>
        <w:t xml:space="preserve">,</w:t>
      </w:r>
      <w:r>
        <w:t xml:space="preserve"> </w:t>
      </w:r>
      <w:r>
        <w:rPr>
          <w:iCs/>
          <w:i/>
        </w:rPr>
        <w:t xml:space="preserve">Solibacter</w:t>
      </w:r>
      <w:r>
        <w:t xml:space="preserve"> </w:t>
      </w:r>
      <w:r>
        <w:t xml:space="preserve">y Nitrosomonadaceae (Siegieda et al., 2024), sin que ello implique necesariamente diferencias de diversidad globalmente robustas desde el punto de vista estadístico. En conjunto, estos resultados refuerzan la idea de que el estado de salud de un cultivo no se refleja de manera uniforme en toda la comunidad microbiana, sino en subconjuntos taxonómicos específicos, lo que respalda metodológicamente la estrategia de exploración multinivel adoptada en este trabajo frente a un análisis limitado a la comunidad completa.</w:t>
      </w:r>
    </w:p>
    <w:p>
      <w:pPr>
        <w:pStyle w:val="BodyText"/>
      </w:pPr>
      <w:r>
        <w:t xml:space="preserve">Desde la perspectiva de la agricultura de precisión, la identificación de taxones biomarcadores candidatos, positivos, como</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 polymyxa</w:t>
      </w:r>
      <w:r>
        <w:t xml:space="preserve">, y negativos,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constituye un insumo cuantitativo de valor práctico para el diseño de sistemas de monitoreo temprano del estado de salud del suelo, así como para la selección racional de microorganismos con potencial como bioinsumos o agentes de biocontrol. La principal contribución de este trabajo, sin embargo, no reside en un hallazgo taxonómico aislado, sino en el artefacto computacional desarrollado: un flujo reproducible, modular y versionado, que integra Bash, R, el formato BIOM y phyloseq, capaz de ejecutar de manera sistemática y trazable el control de calidad, el cálculo de la diversidad alfa y beta, la exploración taxonómica multinivel y la validación estadística de hipótesis sobre datos metagenómicos agrícolas. Al estar organizado por etapas con entradas y salidas explícitas, este flujo puede reutilizarse directamente sobre nuevos conjuntos de datos o cultivos y, sobre todo, funciona como la capa de ingeniería de características sobre la cual construir clasificadores automáticos: las matrices de abundancia aglomeradas por nivel taxonómico que produce el flujo son precisamente el tipo de representación de entrada que requieren los modelos de aprendizaje automático supervisado.</w:t>
      </w:r>
    </w:p>
    <w:p>
      <w:pPr>
        <w:pStyle w:val="BodyText"/>
      </w:pPr>
      <w:r>
        <w:t xml:space="preserve">Este estudio presenta limitaciones que deben considerarse al interpretar sus resultados. El diseño es transversal y se basa en un único cultivo y una única fuente de datos, lo que limita la generalización a otros contextos agroecológicos. El tamaño de muestra, aunque adecuado para un análisis exploratorio, es moderado y desbalanceado entre grupos para pruebas de hipótesis de alta potencia estadística, y no se aplicaron correcciones formales por comparaciones múltiples al evaluar varios niveles taxonómicos de manera simultánea, por lo que los patrones identificados en esos niveles deben interpretarse como hipótesis por confirmar y no como hallazgos concluyentes. Adicionalmente, los taxones diferenciadores se identificaron mediante inspección de las abundancias relativas y no mediante pruebas de abundancia diferencial que consideren la naturaleza composicional de los datos. Por último, aunque la diversidad filogenética (por ejemplo, mediante UniFrac) se consideró en el marco teórico del flujo propuesto, no se dispuso de un árbol filogenético asociado con los datos para su cálculo efectivo en este estudio, ya que la clasificación con Kraken proporciona una jerarquía taxonómica pero no longitudes de rama.</w:t>
      </w:r>
    </w:p>
    <w:p>
      <w:pPr>
        <w:pStyle w:val="BodyText"/>
      </w:pPr>
      <w:r>
        <w:t xml:space="preserve">Como líneas de trabajo futuro se propone, en primer lugar, la incorporación de modelos de aprendizaje automático supervisado, como los bosques aleatorios, entrenados sobre las abundancias taxonómicas multinivel, con el fin de construir clasificadores del estado de salud de las plantas con mayor capacidad predictiva que los índices agregados de diversidad. Este tipo de modelo es especialmente pertinente en escenarios de alta dimensionalidad y tamaño de muestra moderado como el presente, por su robustez frente al sobreajuste y por proporcionar medidas de importancia de variables que permitirían priorizar automáticamente los taxones biomarcadores; su evaluación rigurosa requeriría además esquemas de validación cruzada y métricas de desempeño (exactitud, sensibilidad, especificidad y área bajo la curva) que el flujo reproducible aquí propuesto está en condiciones de soportar de manera natural. En segundo lugar, la ampliación del tamaño de muestra y la incorporación de diseños longitudinales que permitan observar la dinámica temporal del microbioma rizosférico durante el desarrollo de la enfermedad. En tercer lugar, la integración de metadatos agronómicos y ambientales adicionales, así como de inferencia funcional (por ejemplo, mediante PICRUSt2; Douglas et al., 2020), para complementar la caracterización puramente taxonómica. Finalmente, la exploración de redes de coocurrencia y de modelos gráficos probabilísticos, como las redes bayesianas, para caracterizar formalmente las relaciones de dependencia entre taxones clave, como</w:t>
      </w:r>
      <w:r>
        <w:t xml:space="preserve"> </w:t>
      </w:r>
      <w:r>
        <w:rPr>
          <w:iCs/>
          <w:i/>
        </w:rPr>
        <w:t xml:space="preserve">Fusarium</w:t>
      </w:r>
      <w:r>
        <w:t xml:space="preserve">, y el resto de la comunidad microbiana, una línea que se exploró de manera preliminar en este trabajo y que se identifica como un desarrollo natural del flujo propuesto.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como un flujo computacional en R y Bash, organizado por etapas (control de calidad, diversidad alfa, diversidad beta, exploración taxonómica y pruebas de hipótesis) y acompañado de documentación de reproducibilidad, en un repositorio público con control de versiones cuya dirección se indicará en la versión final del manuscrito para preservar el anonimato de la revisión.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Autor 1:</w:t>
      </w:r>
      <w:r>
        <w:t xml:space="preserve"> </w:t>
      </w:r>
      <w:r>
        <w:t xml:space="preserve">conceptualización, curación de datos, análisis formal, investigación, metodología, software, visualización y redacción del borrador original.</w:t>
      </w:r>
      <w:r>
        <w:t xml:space="preserve"> </w:t>
      </w:r>
      <w:r>
        <w:rPr>
          <w:bCs/>
          <w:b/>
        </w:rPr>
        <w:t xml:space="preserve">Autor 2:</w:t>
      </w:r>
      <w:r>
        <w:t xml:space="preserve"> </w:t>
      </w:r>
      <w:r>
        <w:t xml:space="preserve">conceptualización, supervisión, administración del proyecto, validación, redacción, revisión y edición.</w:t>
      </w:r>
      <w:r>
        <w:t xml:space="preserve"> </w:t>
      </w:r>
      <w:r>
        <w:rPr>
          <w:bCs/>
          <w:b/>
        </w:rPr>
        <w:t xml:space="preserve">Autor 3:</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Los agradecimientos institucionales y las fuentes de financiación se indicarán en la versión final del manuscrito para preservar el anonimato de la revisión.</w:t>
      </w:r>
    </w:p>
    <w:p>
      <w:pPr>
        <w:pStyle w:val="BodyText"/>
      </w:pPr>
      <w:r>
        <w:rPr>
          <w:bCs/>
          <w:b/>
        </w:rPr>
        <w:t xml:space="preserve">REFERENCIAS BIBLIOGRÁFICAS</w:t>
      </w:r>
    </w:p>
    <w:p>
      <w:pPr>
        <w:pStyle w:val="BodyTex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pStyle w:val="BodyText"/>
      </w:pPr>
      <w:r>
        <w:t xml:space="preserve">Bolyen, E., Rideout, J. R., Dillon, M. R., Bokulich, N. A., Abnet, C. C., Al-Ghalith, G. A., Alexander, H., Alm, E. J., Arumugam, M., Asnicar, F., Bai, Y., Bisanz, J. E., Bittinger, K., Brejnrod, A., Brislawn, C. J., Brown, C. T., Callahan, B. J., Caraballo-Rodríguez, A. M., Chase, J., … Caporaso, J. G. (2019). Reproducible, interactive, scalable and extensible microbiome data science using QIIME 2.</w:t>
      </w:r>
      <w:r>
        <w:t xml:space="preserve"> </w:t>
      </w:r>
      <w:r>
        <w:rPr>
          <w:iCs/>
          <w:i/>
        </w:rPr>
        <w:t xml:space="preserve">Nature Biotechnology</w:t>
      </w:r>
      <w:r>
        <w:t xml:space="preserve">,</w:t>
      </w:r>
      <w:r>
        <w:t xml:space="preserve"> </w:t>
      </w:r>
      <w:r>
        <w:rPr>
          <w:iCs/>
          <w:i/>
        </w:rPr>
        <w:t xml:space="preserve">37</w:t>
      </w:r>
      <w:r>
        <w:t xml:space="preserve">(8), 852–857. https://doi.org/10.1038/s41587-019-0209-9</w:t>
      </w:r>
    </w:p>
    <w:p>
      <w:pPr>
        <w:pStyle w:val="BodyTex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pStyle w:val="BodyTex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pStyle w:val="BodyTex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pStyle w:val="BodyTex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pStyle w:val="BodyTex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pStyle w:val="BodyTex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pStyle w:val="BodyTex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pStyle w:val="BodyTex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pStyle w:val="BodyTex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pStyle w:val="BodyText"/>
      </w:pPr>
      <w:r>
        <w:t xml:space="preserve">Quast, C., Pruesse, E., Yilmaz, P., Gerken, J., Schweer, T., Yarza, P., Peplies, J., &amp; Glöckner, F. O. (2013). The SILVA ribosomal RNA gene database project: Improved data processing and web-based tools.</w:t>
      </w:r>
      <w:r>
        <w:t xml:space="preserve"> </w:t>
      </w:r>
      <w:r>
        <w:rPr>
          <w:iCs/>
          <w:i/>
        </w:rPr>
        <w:t xml:space="preserve">Nucleic Acids Research</w:t>
      </w:r>
      <w:r>
        <w:t xml:space="preserve">,</w:t>
      </w:r>
      <w:r>
        <w:t xml:space="preserve"> </w:t>
      </w:r>
      <w:r>
        <w:rPr>
          <w:iCs/>
          <w:i/>
        </w:rPr>
        <w:t xml:space="preserve">41</w:t>
      </w:r>
      <w:r>
        <w:t xml:space="preserve">(D1), D590–D596. https://doi.org/10.1093/nar/gks1219</w:t>
      </w:r>
    </w:p>
    <w:p>
      <w:pPr>
        <w:pStyle w:val="BodyTex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pStyle w:val="BodyTex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pStyle w:val="BodyTex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pStyle w:val="BodyTex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pStyle w:val="BodyTex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pStyle w:val="BodyTex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pStyle w:val="BodyTex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pStyle w:val="BodyTex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3"/>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12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12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12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2026-09-29T23:18:14Z</dcterms:created>
  <dcterms:modified xsi:type="dcterms:W3CDTF">2026-09-29T23:18:14Z</dcterms:modified>
</cp:coreProperties>
</file>

<file path=docProps/custom.xml><?xml version="1.0" encoding="utf-8"?>
<Properties xmlns="http://schemas.openxmlformats.org/officeDocument/2006/custom-properties" xmlns:vt="http://schemas.openxmlformats.org/officeDocument/2006/docPropsVTypes"/>
</file>