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étude-de-contexte"/>
    <w:p>
      <w:pPr>
        <w:pStyle w:val="Heading1"/>
      </w:pPr>
      <w:r>
        <w:t xml:space="preserve">01 – Étude de contexte</w:t>
      </w:r>
    </w:p>
    <w:p>
      <w:pPr>
        <w:pStyle w:val="BlockText"/>
      </w:pPr>
      <w:r>
        <w:t xml:space="preserve">Légende :</w:t>
      </w:r>
      <w:r>
        <w:t xml:space="preserve"> </w:t>
      </w:r>
      <w:r>
        <w:rPr>
          <w:bCs/>
          <w:b/>
        </w:rPr>
        <w:t xml:space="preserve">[À COMPLÉTER]</w:t>
      </w:r>
      <w:r>
        <w:t xml:space="preserve"> </w:t>
      </w:r>
      <w:r>
        <w:t xml:space="preserve">= information à rechercher et sourcer par l’équipe. Aucune statistique n’est donnée ici sans source : n’en ajouter que si elle est citée (Agefiph, DARES, DREES, Handicap.gouv.fr, enquêtes de l’école).</w:t>
      </w:r>
    </w:p>
    <w:bookmarkStart w:id="20" w:name="le-sujet-en-une-phrase"/>
    <w:p>
      <w:pPr>
        <w:pStyle w:val="Heading2"/>
      </w:pPr>
      <w:r>
        <w:t xml:space="preserve">1. Le sujet en une phrase</w:t>
      </w:r>
    </w:p>
    <w:p>
      <w:pPr>
        <w:pStyle w:val="FirstParagraph"/>
      </w:pPr>
      <w:r>
        <w:t xml:space="preserve">Beaucoup d’étudiants dont la santé affecte durablement leurs études, leur stage, leur alternance ou leur entrée dans l’emploi ne font pas la démarche de</w:t>
      </w:r>
      <w:r>
        <w:t xml:space="preserve"> </w:t>
      </w:r>
      <w:r>
        <w:rPr>
          <w:bCs/>
          <w:b/>
        </w:rPr>
        <w:t xml:space="preserve">reconnaissance de la qualité de travailleur handicapé (RQTH)</w:t>
      </w:r>
      <w:r>
        <w:t xml:space="preserve">, souvent parce qu’elles ne connaissent pas le dispositif, ne savent pas à qui s’adresser, ou redoutent le regard des autres. HandiDiag est un outil d’</w:t>
      </w:r>
      <w:r>
        <w:rPr>
          <w:bCs/>
          <w:b/>
        </w:rPr>
        <w:t xml:space="preserve">orientation</w:t>
      </w:r>
      <w:r>
        <w:t xml:space="preserve"> </w:t>
      </w:r>
      <w:r>
        <w:t xml:space="preserve">destiné aux</w:t>
      </w:r>
      <w:r>
        <w:t xml:space="preserve"> </w:t>
      </w:r>
      <w:r>
        <w:rPr>
          <w:bCs/>
          <w:b/>
        </w:rPr>
        <w:t xml:space="preserve">étudiants de l’école qui vont vers le monde du travail</w:t>
      </w:r>
      <w:r>
        <w:t xml:space="preserve"> </w:t>
      </w:r>
      <w:r>
        <w:t xml:space="preserve">: il informe, aide à se situer sans diagnostic, et indique vers qui se tourner, en commençant par le</w:t>
      </w:r>
      <w:r>
        <w:t xml:space="preserve"> </w:t>
      </w:r>
      <w:r>
        <w:rPr>
          <w:bCs/>
          <w:b/>
        </w:rPr>
        <w:t xml:space="preserve">pôle handicap de l’école</w:t>
      </w:r>
      <w:r>
        <w:t xml:space="preserve">.</w:t>
      </w:r>
    </w:p>
    <w:bookmarkEnd w:id="20"/>
    <w:bookmarkStart w:id="21" w:name="quest-ce-que-la-rqth"/>
    <w:p>
      <w:pPr>
        <w:pStyle w:val="Heading2"/>
      </w:pPr>
      <w:r>
        <w:t xml:space="preserve">2. Qu’est-ce que la RQTH ?</w:t>
      </w:r>
    </w:p>
    <w:p>
      <w:pPr>
        <w:numPr>
          <w:ilvl w:val="0"/>
          <w:numId w:val="1001"/>
        </w:numPr>
        <w:pStyle w:val="Compact"/>
      </w:pPr>
      <w:r>
        <w:t xml:space="preserve">Décision administrative qui ouvre l’accès à des mesures favorisant l’obtention ou le maintien d’un emploi : aménagements de poste ou d’horaires, aides financières, accompagnement spécialisé.</w:t>
      </w:r>
    </w:p>
    <w:p>
      <w:pPr>
        <w:numPr>
          <w:ilvl w:val="0"/>
          <w:numId w:val="1001"/>
        </w:numPr>
        <w:pStyle w:val="Compact"/>
      </w:pPr>
      <w:r>
        <w:t xml:space="preserve">Concerne les personnes dont les possibilités d’obtenir ou de conserver un emploi sont réduites par l’altération durable d’une ou plusieurs fonctions physiques, sensorielles, mentales ou psychiques.</w:t>
      </w:r>
    </w:p>
    <w:p>
      <w:pPr>
        <w:numPr>
          <w:ilvl w:val="0"/>
          <w:numId w:val="1001"/>
        </w:numPr>
        <w:pStyle w:val="Compact"/>
      </w:pPr>
      <w:r>
        <w:t xml:space="preserve">La demande est</w:t>
      </w:r>
      <w:r>
        <w:t xml:space="preserve"> </w:t>
      </w:r>
      <w:r>
        <w:rPr>
          <w:bCs/>
          <w:b/>
        </w:rPr>
        <w:t xml:space="preserve">personnelle et volontaire</w:t>
      </w:r>
      <w:r>
        <w:t xml:space="preserve">. Elle est déposée auprès de la</w:t>
      </w:r>
      <w:r>
        <w:t xml:space="preserve"> </w:t>
      </w:r>
      <w:r>
        <w:rPr>
          <w:bCs/>
          <w:b/>
        </w:rPr>
        <w:t xml:space="preserve">MDPH</w:t>
      </w:r>
      <w:r>
        <w:t xml:space="preserve"> </w:t>
      </w:r>
      <w:r>
        <w:t xml:space="preserve">(Maison départementale des personnes handicapées) du département de résidence ; la décision est prise par la</w:t>
      </w:r>
      <w:r>
        <w:t xml:space="preserve"> </w:t>
      </w:r>
      <w:r>
        <w:rPr>
          <w:bCs/>
          <w:b/>
        </w:rPr>
        <w:t xml:space="preserve">CDAPH</w:t>
      </w:r>
      <w:r>
        <w:t xml:space="preserve"> </w:t>
      </w:r>
      <w:r>
        <w:t xml:space="preserve">(commission des droits et de l’autonomie des personnes handicapées).</w:t>
      </w:r>
    </w:p>
    <w:p>
      <w:pPr>
        <w:numPr>
          <w:ilvl w:val="0"/>
          <w:numId w:val="1001"/>
        </w:numPr>
        <w:pStyle w:val="Compact"/>
      </w:pPr>
      <w:r>
        <w:t xml:space="preserve">Sources officielles retenues dans l’outil : Mon Parcours Handicap, Service-public.fr (voir</w:t>
      </w:r>
      <w:r>
        <w:t xml:space="preserve"> </w:t>
      </w:r>
      <w:r>
        <w:rPr>
          <w:rStyle w:val="VerbatimChar"/>
        </w:rPr>
        <w:t xml:space="preserve">public/data/resources.json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Pour un employeur, l’emploi de personnes reconnues travailleurs handicapés entre dans l’</w:t>
      </w:r>
      <w:r>
        <w:rPr>
          <w:bCs/>
          <w:b/>
        </w:rPr>
        <w:t xml:space="preserve">obligation d’emploi de travailleurs handicapés (OETH)</w:t>
      </w:r>
      <w:r>
        <w:t xml:space="preserve">.</w:t>
      </w:r>
      <w:r>
        <w:t xml:space="preserve"> </w:t>
      </w:r>
      <w:r>
        <w:rPr>
          <w:bCs/>
          <w:b/>
        </w:rPr>
        <w:t xml:space="preserve">[À COMPLÉTER : vérifier le taux et le seuil d’effectif en vigueur sur Service-public.fr avant de le citer.]</w:t>
      </w:r>
    </w:p>
    <w:bookmarkEnd w:id="21"/>
    <w:bookmarkStart w:id="22" w:name="problème-et-opportunité"/>
    <w:p>
      <w:pPr>
        <w:pStyle w:val="Heading2"/>
      </w:pPr>
      <w:r>
        <w:t xml:space="preserve">3. Problème et opportunité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Constat (à documenter)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Conséquence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Réponse d’HandiDiag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Méconnaissance du dispositif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Démarche jamais engagée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d’information en langage simple, mode texte simplifié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pas savoir à qui s’adresser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 avant le premier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question sur le pôle handicap ; puis pôle handicap de l’école en premier (e-mail), santé étudiante, scolarité, Agefiph, MDPH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Peur du regard / de l’employeur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anonyme, sans compte ; message explicite sur le caractère personnel de la démarche ; contacts tenus au secret médical mis en premier si cette crainte est exprimée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 perçu comme complexe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ou abandon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: liens officiels, checklist, guide pas à 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Démarche engagée trop tard (stage, alternance, début d’emploi)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Rupture de droits ou d’aménagements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sur l’échéance + message sur les délais de traitement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[À COMPLÉTER]</w:t>
      </w:r>
      <w:r>
        <w:t xml:space="preserve"> </w:t>
      </w:r>
      <w:r>
        <w:t xml:space="preserve">: ajouter 3 à 5 chiffres sourcés sur le non-recours, les délais MDPH et l’emploi des personnes handicapées (Agefiph / DARES / DREES).</w:t>
      </w:r>
    </w:p>
    <w:bookmarkEnd w:id="22"/>
    <w:bookmarkStart w:id="23" w:name="X04ec42790c378e7af3baf4f1f92cb6242871f6f"/>
    <w:p>
      <w:pPr>
        <w:pStyle w:val="Heading2"/>
      </w:pPr>
      <w:r>
        <w:t xml:space="preserve">4. Contexte spécifique : l’Efrei et les étudiants</w:t>
      </w:r>
    </w:p>
    <w:p>
      <w:pPr>
        <w:numPr>
          <w:ilvl w:val="0"/>
          <w:numId w:val="1002"/>
        </w:numPr>
        <w:pStyle w:val="Compact"/>
      </w:pPr>
      <w:r>
        <w:t xml:space="preserve">Les étudiants en école d’ingénieurs enchaînent</w:t>
      </w:r>
      <w:r>
        <w:t xml:space="preserve"> </w:t>
      </w:r>
      <w:r>
        <w:rPr>
          <w:bCs/>
          <w:b/>
        </w:rPr>
        <w:t xml:space="preserve">stages, alternance, examens et premier emploi</w:t>
      </w:r>
      <w:r>
        <w:t xml:space="preserve"> </w:t>
      </w:r>
      <w:r>
        <w:t xml:space="preserve">: un aménagement manquant à un moment clé peut avoir des conséquences importantes.</w:t>
      </w:r>
    </w:p>
    <w:p>
      <w:pPr>
        <w:numPr>
          <w:ilvl w:val="0"/>
          <w:numId w:val="1002"/>
        </w:numPr>
        <w:pStyle w:val="Compact"/>
      </w:pPr>
      <w:r>
        <w:t xml:space="preserve">Une reconnaissance officielle obtenue pendant les études peut éviter une</w:t>
      </w:r>
      <w:r>
        <w:t xml:space="preserve"> </w:t>
      </w:r>
      <w:r>
        <w:rPr>
          <w:bCs/>
          <w:b/>
        </w:rPr>
        <w:t xml:space="preserve">rupture de droits</w:t>
      </w:r>
      <w:r>
        <w:t xml:space="preserve"> </w:t>
      </w:r>
      <w:r>
        <w:t xml:space="preserve">à l’entrée dans la vie active (le descriptif du projet insiste sur ce point).</w:t>
      </w:r>
    </w:p>
    <w:p>
      <w:pPr>
        <w:numPr>
          <w:ilvl w:val="0"/>
          <w:numId w:val="1002"/>
        </w:numPr>
        <w:pStyle w:val="Compact"/>
      </w:pPr>
      <w:r>
        <w:t xml:space="preserve">Interlocuteurs internes : le</w:t>
      </w:r>
      <w:r>
        <w:t xml:space="preserve"> </w:t>
      </w:r>
      <w:r>
        <w:rPr>
          <w:bCs/>
          <w:b/>
        </w:rPr>
        <w:t xml:space="preserve">pôle handicap</w:t>
      </w:r>
      <w:r>
        <w:t xml:space="preserve"> </w:t>
      </w:r>
      <w:r>
        <w:t xml:space="preserve">(sujets traités : handicap, tiers-temps, social, aides exceptionnelles, aménagements), joignable par e-mail auprès de</w:t>
      </w:r>
      <w:r>
        <w:t xml:space="preserve"> </w:t>
      </w:r>
      <w:r>
        <w:rPr>
          <w:bCs/>
          <w:b/>
        </w:rPr>
        <w:t xml:space="preserve">Charlie DUPIC</w:t>
      </w:r>
      <w:r>
        <w:t xml:space="preserve"> </w:t>
      </w:r>
      <w:r>
        <w:t xml:space="preserve">(référente social et handicap, charlie.dupic@efrei.fr) et de</w:t>
      </w:r>
      <w:r>
        <w:t xml:space="preserve"> </w:t>
      </w:r>
      <w:r>
        <w:rPr>
          <w:bCs/>
          <w:b/>
        </w:rPr>
        <w:t xml:space="preserve">Stéphanie LIBESKIND</w:t>
      </w:r>
      <w:r>
        <w:t xml:space="preserve"> </w:t>
      </w:r>
      <w:r>
        <w:t xml:space="preserve">(responsable RSE, stephanie.libeskind@efrei.fr), qui ont accepté la publication de leur adresse (aucun lien Teams) ; puis le service de santé étudiante et la scolarité.</w:t>
      </w:r>
      <w:r>
        <w:t xml:space="preserve"> </w:t>
      </w:r>
      <w:r>
        <w:rPr>
          <w:bCs/>
          <w:b/>
        </w:rPr>
        <w:t xml:space="preserve">[À COMPLÉTER : horaires et lieu du pôle.]</w:t>
      </w:r>
    </w:p>
    <w:p>
      <w:pPr>
        <w:numPr>
          <w:ilvl w:val="0"/>
          <w:numId w:val="1002"/>
        </w:numPr>
        <w:pStyle w:val="Compact"/>
      </w:pPr>
      <w:r>
        <w:t xml:space="preserve">Le parcours commence par deux questions sur le pôle : « Êtes-vous suivi(e) par le pôle handicap ? » puis, si non, « Souhaitez-vous le rejoindre ? » (sujets et contacts affichés si oui). Quelle que soit la réponse, le questionnaire continue vers l’</w:t>
      </w:r>
      <w:r>
        <w:rPr>
          <w:bCs/>
          <w:b/>
        </w:rPr>
        <w:t xml:space="preserve">orientation RQTH</w:t>
      </w:r>
      <w:r>
        <w:t xml:space="preserve">, pensée pour le stage, l’alternance et le premier emploi.</w:t>
      </w:r>
    </w:p>
    <w:p>
      <w:pPr>
        <w:numPr>
          <w:ilvl w:val="0"/>
          <w:numId w:val="1002"/>
        </w:numPr>
        <w:pStyle w:val="Compact"/>
      </w:pPr>
      <w:r>
        <w:t xml:space="preserve">Objectif d’« applicabilité » : l’outil doit pouvoir être déployé à l’école (preuve de concept) sans compte ni intégration SI.</w:t>
      </w:r>
    </w:p>
    <w:bookmarkEnd w:id="23"/>
    <w:bookmarkStart w:id="24" w:name="parties-prenantes"/>
    <w:p>
      <w:pPr>
        <w:pStyle w:val="Heading2"/>
      </w:pPr>
      <w:r>
        <w:t xml:space="preserve">5. Parties prenantes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Partie prenante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Intérêt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Implication souhaitée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Utilisateurs : étudiants de l’école, en route vers un stage, une alternance ou un premier emploi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Comprendre, se situer, agir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utilisateurs, entretiens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Pôle handicap de l’école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Toucher les étudiants concernés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des textes et du ton, validation des seuils,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 / RH de l’école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d’inclusion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du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Médecine de prévention / santé étudiante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avec la pratique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 / référent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 l’analyse RGPD (doc 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MDPH, Agefiph, FIPHFP, Cap emploi, France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officielles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intégration : liens sortants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 projet et encadrant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Livrer un outil sûr et utile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Revues de sprint</w:t>
            </w:r>
          </w:p>
        </w:tc>
      </w:tr>
    </w:tbl>
    <w:bookmarkEnd w:id="24"/>
    <w:bookmarkStart w:id="25" w:name="périmètre"/>
    <w:p>
      <w:pPr>
        <w:pStyle w:val="Heading2"/>
      </w:pPr>
      <w:r>
        <w:t xml:space="preserve">6. Périmètre</w:t>
      </w:r>
    </w:p>
    <w:p>
      <w:pPr>
        <w:pStyle w:val="FirstParagraph"/>
      </w:pPr>
      <w:r>
        <w:rPr>
          <w:bCs/>
          <w:b/>
        </w:rPr>
        <w:t xml:space="preserve">Dans le périmètre</w:t>
      </w:r>
      <w:r>
        <w:t xml:space="preserve"> </w:t>
      </w:r>
      <w:r>
        <w:t xml:space="preserve">: information, questionnaire d’orientation, restitution prudente, questions sur le pôle handicap, orientation RQTH adaptée au stage, à l’alternance et au premier emploi, contacts du pôle par e-mail, kit documentaire, statistiques agrégées, FR/EN.</w:t>
      </w:r>
    </w:p>
    <w:p>
      <w:pPr>
        <w:pStyle w:val="BodyText"/>
      </w:pPr>
      <w:r>
        <w:rPr>
          <w:bCs/>
          <w:b/>
        </w:rPr>
        <w:t xml:space="preserve">Hors périmètre</w:t>
      </w:r>
      <w:r>
        <w:t xml:space="preserve"> </w:t>
      </w:r>
      <w:r>
        <w:t xml:space="preserve">(volontairement) : diagnostic médical ; évaluation de l’éligibilité ; création de compte ; stockage de réponses ; dépôt du dossier à la MDPH ; traitement de pièces médicales ; chatbot libre (risque de réponses non maîtrisées sur un sujet sensible).</w:t>
      </w:r>
    </w:p>
    <w:bookmarkEnd w:id="25"/>
    <w:bookmarkStart w:id="26" w:name="Xb743bd63ef037e08e9d39f6a36507e538fe7822"/>
    <w:p>
      <w:pPr>
        <w:pStyle w:val="Heading2"/>
      </w:pPr>
      <w:r>
        <w:t xml:space="preserve">7. Risques majeurs identifiés dès le cadrage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Gravité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Parade retenue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perçu comme un diagnostic ou une promesse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Formulations prudentes, test automatisé interdisant « éligible » &amp; co, bandeau « ce n’est pas une décision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 involontaire de données de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réponse stockée, traitement local, compteurs séparés (pas de croisement)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anxiogène ou stigmatisant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par la pôle handicap, tests utilisateurs, option textes simplifiés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Orientation erronée (seuils non validés)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= « il peut être utile d’en parler », jamais une décision ; validation des règles par des professionnels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Outil inaccessible aux personnes qu’il 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RGAA/WCAG dès la conception, audit et tests avec lecteurs d’écran (doc 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Liens ou informations obsolètes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vérification dans</w:t>
            </w:r>
            <w:r>
              <w:t xml:space="preserve"> </w:t>
            </w:r>
            <w:r>
              <w:rPr>
                <w:rStyle w:val="VerbatimChar"/>
              </w:rPr>
              <w:t xml:space="preserve">resources.json</w:t>
            </w:r>
            <w:r>
              <w:t xml:space="preserve">, revue avant mise en ligne</w:t>
            </w:r>
          </w:p>
        </w:tc>
      </w:tr>
    </w:tbl>
    <w:bookmarkEnd w:id="26"/>
    <w:bookmarkStart w:id="27" w:name="hypothèses-à-valider"/>
    <w:p>
      <w:pPr>
        <w:pStyle w:val="Heading2"/>
      </w:pPr>
      <w:r>
        <w:t xml:space="preserve">8. Hypothèses à valider</w:t>
      </w:r>
    </w:p>
    <w:p>
      <w:pPr>
        <w:numPr>
          <w:ilvl w:val="0"/>
          <w:numId w:val="1003"/>
        </w:numPr>
        <w:pStyle w:val="Compact"/>
      </w:pPr>
      <w:r>
        <w:t xml:space="preserve">Les étudiants de l’Efrei, y compris ceux qui ne sont pas suivis par le pôle handicap, connaissent peu la RQTH et ses effets sur l’entrée dans l’emploi.</w:t>
      </w:r>
      <w:r>
        <w:t xml:space="preserve"> </w:t>
      </w:r>
      <w:r>
        <w:rPr>
          <w:bCs/>
          <w:b/>
        </w:rPr>
        <w:t xml:space="preserve">[Mesurer par un mini-sondage anonyme.]</w:t>
      </w:r>
    </w:p>
    <w:p>
      <w:pPr>
        <w:numPr>
          <w:ilvl w:val="0"/>
          <w:numId w:val="1003"/>
        </w:numPr>
        <w:pStyle w:val="Compact"/>
      </w:pPr>
      <w:r>
        <w:t xml:space="preserve">Une douzaine de questions essentielles (10 à 12 selon le parcours) non médicales suffisent à orienter utilement, et des questions complémentaires facultatives apportent des pistes plus précises sans alourdir le parcours de ceux qui n’en veulent pas.</w:t>
      </w:r>
      <w:r>
        <w:t xml:space="preserve"> </w:t>
      </w:r>
      <w:r>
        <w:rPr>
          <w:bCs/>
          <w:b/>
        </w:rPr>
        <w:t xml:space="preserve">[Valider en tests utilisateurs, doc 05.]</w:t>
      </w:r>
    </w:p>
    <w:p>
      <w:pPr>
        <w:numPr>
          <w:ilvl w:val="0"/>
          <w:numId w:val="1003"/>
        </w:numPr>
        <w:pStyle w:val="Compact"/>
      </w:pPr>
      <w:r>
        <w:t xml:space="preserve">L’anonymat complet est une condition de confiance.</w:t>
      </w:r>
      <w:r>
        <w:t xml:space="preserve"> </w:t>
      </w:r>
      <w:r>
        <w:rPr>
          <w:bCs/>
          <w:b/>
        </w:rPr>
        <w:t xml:space="preserve">[Vérifier en entretien.]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2026-10-24T15:56:53Z</dcterms:created>
  <dcterms:modified xsi:type="dcterms:W3CDTF">2026-10-24T15:56:53Z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