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enchmark"/>
    <w:p>
      <w:pPr>
        <w:pStyle w:val="Heading1"/>
      </w:pPr>
      <w:r>
        <w:t xml:space="preserve">02 – Benchmark</w:t>
      </w:r>
    </w:p>
    <w:p>
      <w:pPr>
        <w:pStyle w:val="BlockText"/>
      </w:pPr>
      <w:r>
        <w:t xml:space="preserve">Un benchmark est une</w:t>
      </w:r>
      <w:r>
        <w:t xml:space="preserve"> </w:t>
      </w:r>
      <w:r>
        <w:rPr>
          <w:bCs/>
          <w:b/>
        </w:rPr>
        <w:t xml:space="preserve">observation</w:t>
      </w:r>
      <w:r>
        <w:t xml:space="preserve">, pas une opinion. Les colonnes « Observé » sont à remplir</w:t>
      </w:r>
      <w:r>
        <w:t xml:space="preserve"> </w:t>
      </w:r>
      <w:r>
        <w:rPr>
          <w:bCs/>
          <w:b/>
        </w:rPr>
        <w:t xml:space="preserve">après avoir réellement utilisé chaque service</w:t>
      </w:r>
      <w:r>
        <w:t xml:space="preserve"> </w:t>
      </w:r>
      <w:r>
        <w:t xml:space="preserve">(captures d’écran datées en annexe). Les cases marquées « d’après le descriptif » viennent du document de projet et sont à confirmer sur le site.</w:t>
      </w:r>
    </w:p>
    <w:bookmarkStart w:id="20" w:name="services-à-comparer"/>
    <w:p>
      <w:pPr>
        <w:pStyle w:val="Heading2"/>
      </w:pPr>
      <w:r>
        <w:t xml:space="preserve">1. Services à comparer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Autodiagnostic d’Atouts &amp; Handicap</w:t>
            </w:r>
            <w:r>
              <w:t xml:space="preserve"> </w:t>
            </w:r>
            <w:r>
              <w:t xml:space="preserve">(cité par le descriptif)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directe citée dans le sujet : questionnaire confidentiel d’aide à la décision sur la RQTH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Parcours Handicap</w:t>
            </w:r>
            <w:r>
              <w:t xml:space="preserve"> </w:t>
            </w:r>
            <w:r>
              <w:t xml:space="preserve">(portail national, MDPH)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officielle pour le dépôt de la demande : référence de 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Service-public.fr</w:t>
            </w:r>
            <w:r>
              <w:t xml:space="preserve">, fiche RQTH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d’information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de clarté et de fiabilité du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Agefiph / FIPHFP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 d’organismes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Aides et contacts selon le secteur (privé / 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d’autodiagnostic ou simulateurs d’aides d’autres organismes</w:t>
            </w:r>
            <w:r>
              <w:t xml:space="preserve"> </w:t>
            </w:r>
            <w:r>
              <w:rPr>
                <w:bCs/>
                <w:b/>
              </w:rPr>
              <w:t xml:space="preserve">[À COMPLÉTER : en chercher 1 ou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Élargir la comparaison</w:t>
            </w:r>
          </w:p>
        </w:tc>
      </w:tr>
    </w:tbl>
    <w:bookmarkEnd w:id="20"/>
    <w:bookmarkStart w:id="21" w:name="Xa4b0290a0fd5604a404eb54b1c4ba2956f2b289"/>
    <w:p>
      <w:pPr>
        <w:pStyle w:val="Heading2"/>
      </w:pPr>
      <w:r>
        <w:t xml:space="preserve">2. Grille d’évaluation (à remplir pour chaque service)</w:t>
      </w:r>
    </w:p>
    <w:p>
      <w:pPr>
        <w:pStyle w:val="FirstParagraph"/>
      </w:pPr>
      <w:r>
        <w:t xml:space="preserve">Notation : 0 = absent · 1 = partiel · 2 = satisfaisant · 3 = très bon. Toujours noter</w:t>
      </w:r>
      <w:r>
        <w:t xml:space="preserve"> </w:t>
      </w:r>
      <w:r>
        <w:rPr>
          <w:bCs/>
          <w:b/>
        </w:rPr>
        <w:t xml:space="preserve">la preuve</w:t>
      </w:r>
      <w:r>
        <w:t xml:space="preserve"> </w:t>
      </w:r>
      <w:r>
        <w:t xml:space="preserve">(capture, URL, date).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HandiDiag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Clarté</w:t>
            </w:r>
            <w:r>
              <w:t xml:space="preserve"> </w:t>
            </w:r>
            <w:r>
              <w:t xml:space="preserve">: on comprend en moins de 30 s ce que fait l’outil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(page info structurée ; à valider en 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Langage simple</w:t>
            </w:r>
            <w:r>
              <w:t xml:space="preserve"> </w:t>
            </w:r>
            <w:r>
              <w:t xml:space="preserve">: phrases courtes, pas de jargon non expliqué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(variante simplifiée disponible)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Confidentialité visible</w:t>
            </w:r>
            <w:r>
              <w:t xml:space="preserve"> </w:t>
            </w:r>
            <w:r>
              <w:t xml:space="preserve">: l’utilisateur sait ce qui est conservé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(liste explicite, case de refus des statistiques)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compte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personnalisé</w:t>
            </w:r>
            <w:r>
              <w:t xml:space="preserve"> </w:t>
            </w:r>
            <w:r>
              <w:t xml:space="preserve">selon la situation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(pôle handicap, niveau, pistes)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explicable</w:t>
            </w:r>
            <w:r>
              <w:t xml:space="preserve"> </w:t>
            </w:r>
            <w:r>
              <w:t xml:space="preserve">: on voit pourquoi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(règles affichées)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Prudence du ton</w:t>
            </w:r>
            <w:r>
              <w:t xml:space="preserve"> </w:t>
            </w:r>
            <w:r>
              <w:t xml:space="preserve">: jamais de promesse d’éligibilité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(test automatisé)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Orientation concrète</w:t>
            </w:r>
            <w:r>
              <w:t xml:space="preserve"> </w:t>
            </w:r>
            <w:r>
              <w:t xml:space="preserve">: vers qui, avec quel lien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(génériques à compléter avec contacts Efrei)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Aide à la démarche</w:t>
            </w:r>
            <w:r>
              <w:t xml:space="preserve"> </w:t>
            </w:r>
            <w:r>
              <w:t xml:space="preserve">: étapes, checklist, formulaires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Accessibilité</w:t>
            </w:r>
            <w:r>
              <w:t xml:space="preserve"> </w:t>
            </w:r>
            <w:r>
              <w:t xml:space="preserve">(clavier, contraste, lecteur d’écran)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(conçu pour ; audit à finaliser)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Confort de lecture</w:t>
            </w:r>
            <w:r>
              <w:t xml:space="preserve"> </w:t>
            </w:r>
            <w:r>
              <w:t xml:space="preserve">(police, taille, thème, voix)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(3 polices, texte 50–300 %, contraste élevé, voix réglable)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Multilingue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(FR/EN)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(testé à 375, 768 et 1280 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Ciblage étudiants / jeunes diplômés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Écoconception</w:t>
            </w:r>
            <w:r>
              <w:t xml:space="preserve"> </w:t>
            </w:r>
            <w:r>
              <w:t xml:space="preserve">(poids, services tiers)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(≈ 51 Ko transférés, 0 service tiers)</w:t>
            </w:r>
          </w:p>
        </w:tc>
      </w:tr>
    </w:tbl>
    <w:p>
      <w:pPr>
        <w:pStyle w:val="BlockText"/>
      </w:pPr>
      <w:r>
        <w:t xml:space="preserve">Les notes « HandiDiag » sont des</w:t>
      </w:r>
      <w:r>
        <w:t xml:space="preserve"> </w:t>
      </w:r>
      <w:r>
        <w:rPr>
          <w:bCs/>
          <w:b/>
        </w:rPr>
        <w:t xml:space="preserve">auto-évaluations de conception</w:t>
      </w:r>
      <w:r>
        <w:t xml:space="preserve"> </w:t>
      </w:r>
      <w:r>
        <w:t xml:space="preserve">; les remplacer par des notes issues de l’audit (doc 06) et des tests (doc 05).</w:t>
      </w:r>
    </w:p>
    <w:bookmarkEnd w:id="21"/>
    <w:bookmarkStart w:id="22" w:name="Xdc897d132f2981c1b20d30910e6c3e64b483737"/>
    <w:p>
      <w:pPr>
        <w:pStyle w:val="Heading2"/>
      </w:pPr>
      <w:r>
        <w:t xml:space="preserve">3. Ce que le descriptif indique sur l’autodiagnostic d’Atouts &amp; Handicap</w:t>
      </w:r>
    </w:p>
    <w:p>
      <w:pPr>
        <w:pStyle w:val="FirstParagraph"/>
      </w:pPr>
      <w:r>
        <w:t xml:space="preserve">D’après le document de projet : outil de type questionnaire d’aide à la décision, confidentiel, qui informe sur la RQTH et oriente la personne.</w:t>
      </w:r>
      <w:r>
        <w:t xml:space="preserve"> </w:t>
      </w:r>
      <w:r>
        <w:rPr>
          <w:bCs/>
          <w:b/>
        </w:rPr>
        <w:t xml:space="preserve">[À COMPLÉTER après usage réel : nombre de questions, durée, ce que l’outil restitue, ce qui est stocké, accessibilité observée, langues.]</w:t>
      </w:r>
    </w:p>
    <w:bookmarkEnd w:id="22"/>
    <w:bookmarkStart w:id="23" w:name="X61e737974e91a0974c0810d9533969da467ed69"/>
    <w:p>
      <w:pPr>
        <w:pStyle w:val="Heading2"/>
      </w:pPr>
      <w:r>
        <w:t xml:space="preserve">4. Protocole d’observation (à suivre pour chaque service)</w:t>
      </w:r>
    </w:p>
    <w:p>
      <w:pPr>
        <w:numPr>
          <w:ilvl w:val="0"/>
          <w:numId w:val="1001"/>
        </w:numPr>
        <w:pStyle w:val="Compact"/>
      </w:pPr>
      <w:r>
        <w:t xml:space="preserve">Se placer dans la peau d’un persona (doc 03) ; noter l’objectif.</w:t>
      </w:r>
    </w:p>
    <w:p>
      <w:pPr>
        <w:numPr>
          <w:ilvl w:val="0"/>
          <w:numId w:val="1001"/>
        </w:numPr>
        <w:pStyle w:val="Compact"/>
      </w:pPr>
      <w:r>
        <w:t xml:space="preserve">Parcourir le service</w:t>
      </w:r>
      <w:r>
        <w:t xml:space="preserve"> </w:t>
      </w:r>
      <w:r>
        <w:rPr>
          <w:bCs/>
          <w:b/>
        </w:rPr>
        <w:t xml:space="preserve">sans aide</w:t>
      </w:r>
      <w:r>
        <w:t xml:space="preserve">, chronomètre en main ; noter la durée et les blocages.</w:t>
      </w:r>
    </w:p>
    <w:p>
      <w:pPr>
        <w:numPr>
          <w:ilvl w:val="0"/>
          <w:numId w:val="1001"/>
        </w:numPr>
        <w:pStyle w:val="Compact"/>
      </w:pPr>
      <w:r>
        <w:t xml:space="preserve">Tester au</w:t>
      </w:r>
      <w:r>
        <w:t xml:space="preserve"> </w:t>
      </w:r>
      <w:r>
        <w:rPr>
          <w:bCs/>
          <w:b/>
        </w:rPr>
        <w:t xml:space="preserve">clavier seul</w:t>
      </w:r>
      <w:r>
        <w:t xml:space="preserve"> </w:t>
      </w:r>
      <w:r>
        <w:t xml:space="preserve">(Tab, Maj+Tab, Entrée, Espace) et à</w:t>
      </w:r>
      <w:r>
        <w:t xml:space="preserve"> </w:t>
      </w:r>
      <w:r>
        <w:rPr>
          <w:bCs/>
          <w:b/>
        </w:rPr>
        <w:t xml:space="preserve">200 % de zoom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Lancer un test automatique (axe DevTools ou Lighthouse) et noter le score</w:t>
      </w:r>
      <w:r>
        <w:t xml:space="preserve"> </w:t>
      </w:r>
      <w:r>
        <w:rPr>
          <w:bCs/>
          <w:b/>
        </w:rPr>
        <w:t xml:space="preserve">comme indicateur seulement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Lire la politique de confidentialité : que collecte-t-on, qui est destinataire ?</w:t>
      </w:r>
    </w:p>
    <w:p>
      <w:pPr>
        <w:numPr>
          <w:ilvl w:val="0"/>
          <w:numId w:val="1001"/>
        </w:numPr>
        <w:pStyle w:val="Compact"/>
      </w:pPr>
      <w:r>
        <w:t xml:space="preserve">Capturer l’écran de résultat et noter les formulations (promesse ? ton ?).</w:t>
      </w:r>
    </w:p>
    <w:bookmarkEnd w:id="23"/>
    <w:bookmarkStart w:id="24" w:name="X1dc586bb45ddca5fad4594f900c6f4a127d2810"/>
    <w:p>
      <w:pPr>
        <w:pStyle w:val="Heading2"/>
      </w:pPr>
      <w:r>
        <w:t xml:space="preserve">5. Synthèse attendue (à rédiger après remplissage)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 qui existe déjà et qu’on ne refait pas</w:t>
      </w:r>
      <w:r>
        <w:t xml:space="preserve"> </w:t>
      </w:r>
      <w:r>
        <w:t xml:space="preserve">: liens vers les démarches officielles.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 que l’offre existante couvre mal</w:t>
      </w:r>
      <w:r>
        <w:t xml:space="preserve"> </w:t>
      </w:r>
      <w:r>
        <w:t xml:space="preserve">(hypothèses à confirmer) : parcours spécifique</w:t>
      </w:r>
      <w:r>
        <w:t xml:space="preserve"> </w:t>
      </w:r>
      <w:r>
        <w:rPr>
          <w:bCs/>
          <w:b/>
        </w:rPr>
        <w:t xml:space="preserve">étudiants et jeunes diplômés</w:t>
      </w:r>
      <w:r>
        <w:t xml:space="preserve"> </w:t>
      </w:r>
      <w:r>
        <w:t xml:space="preserve">; explication visible des raisons du résultat ; mode texte simplifié ; traitement 100 % local ; déploiement possible à l’école.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Positionnement d’HandiDiag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un outil d’orientation transparent, anonyme et adapté au contexte étudiant, complémentaire des services officiels et non concurrent.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2026-10-24T15:56:53Z</dcterms:created>
  <dcterms:modified xsi:type="dcterms:W3CDTF">2026-10-24T15:56:53Z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