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rapport-final"/>
    <w:p>
      <w:pPr>
        <w:pStyle w:val="Heading1"/>
      </w:pPr>
      <w:r>
        <w:t xml:space="preserve">08 – Rapport final</w:t>
      </w:r>
    </w:p>
    <w:p>
      <w:pPr>
        <w:pStyle w:val="BlockText"/>
      </w:pPr>
      <w:r>
        <w:rPr>
          <w:bCs/>
          <w:b/>
        </w:rPr>
        <w:t xml:space="preserve">Mode d’emploi</w:t>
      </w:r>
      <w:r>
        <w:t xml:space="preserve"> </w:t>
      </w:r>
      <w:r>
        <w:t xml:space="preserve">: les parties techniques ci-dessous sont</w:t>
      </w:r>
      <w:r>
        <w:t xml:space="preserve"> </w:t>
      </w:r>
      <w:r>
        <w:rPr>
          <w:bCs/>
          <w:b/>
        </w:rPr>
        <w:t xml:space="preserve">renseignées avec des mesures réelles</w:t>
      </w:r>
      <w:r>
        <w:t xml:space="preserve"> </w:t>
      </w:r>
      <w:r>
        <w:t xml:space="preserve">(tests automatiques, poids). Les parties marquées</w:t>
      </w:r>
      <w:r>
        <w:t xml:space="preserve"> </w:t>
      </w:r>
      <w:r>
        <w:rPr>
          <w:bCs/>
          <w:b/>
        </w:rPr>
        <w:t xml:space="preserve">[À COMPLÉTER]</w:t>
      </w:r>
      <w:r>
        <w:t xml:space="preserve"> </w:t>
      </w:r>
      <w:r>
        <w:t xml:space="preserve">dépendent d’un travail de terrain (entretiens, tests utilisateurs, audit manuel, validation par la pôle handicap) qui n’a pas encore été mené : ne pas les remplir avec des valeurs supposées.</w:t>
      </w:r>
    </w:p>
    <w:p>
      <w:pPr>
        <w:pStyle w:val="FirstParagraph"/>
      </w:pPr>
      <w:r>
        <w:rPr>
          <w:bCs/>
          <w:b/>
        </w:rPr>
        <w:t xml:space="preserve">Projet</w:t>
      </w:r>
      <w:r>
        <w:t xml:space="preserve"> </w:t>
      </w:r>
      <w:r>
        <w:t xml:space="preserve">: HandiDiag – ING3 Efrei ·</w:t>
      </w:r>
      <w:r>
        <w:t xml:space="preserve"> </w:t>
      </w:r>
      <w:r>
        <w:rPr>
          <w:bCs/>
          <w:b/>
        </w:rPr>
        <w:t xml:space="preserve">Équipe</w:t>
      </w:r>
      <w:r>
        <w:t xml:space="preserve"> </w:t>
      </w:r>
      <w:r>
        <w:t xml:space="preserve">: Bastien FRANJA, Camille TURA–DURAND, Inès MEHADHEBI, Kiroshan SIVAKUMAR, Maxime CERRUTI (ING3 Bio-informatique, 5e année) ·</w:t>
      </w:r>
      <w:r>
        <w:t xml:space="preserve"> </w:t>
      </w:r>
      <w:r>
        <w:rPr>
          <w:bCs/>
          <w:b/>
        </w:rPr>
        <w:t xml:space="preserve">Encadrant</w:t>
      </w:r>
      <w:r>
        <w:t xml:space="preserve"> </w:t>
      </w:r>
      <w:r>
        <w:t xml:space="preserve">: [À COMPLÉTER] ·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: [À COMPLÉTER]</w:t>
      </w:r>
    </w:p>
    <w:p>
      <w:r>
        <w:pict>
          <v:rect style="width:0;height:1.5pt" o:hralign="center" o:hrstd="t" o:hr="t"/>
        </w:pict>
      </w:r>
    </w:p>
    <w:bookmarkStart w:id="20" w:name="résumé-10-lignes"/>
    <w:p>
      <w:pPr>
        <w:pStyle w:val="Heading2"/>
      </w:pPr>
      <w:r>
        <w:t xml:space="preserve">1. Résumé (≈ 10 lignes)</w:t>
      </w:r>
    </w:p>
    <w:p>
      <w:pPr>
        <w:pStyle w:val="FirstParagraph"/>
      </w:pPr>
      <w:r>
        <w:t xml:space="preserve">HandiDiag est une application web accessible et confidentielle qui aide un étudiant de l’école, en route vers un stage, une alternance ou un premier emploi, à savoir si une démarche RQTH peut avoir du sens pour lui et vers qui se tourner. Un questionnaire</w:t>
      </w:r>
      <w:r>
        <w:t xml:space="preserve"> </w:t>
      </w:r>
      <w:r>
        <w:rPr>
          <w:bCs/>
          <w:b/>
        </w:rPr>
        <w:t xml:space="preserve">adaptatif</w:t>
      </w:r>
      <w:r>
        <w:t xml:space="preserve"> </w:t>
      </w:r>
      <w:r>
        <w:t xml:space="preserve">démarre par le pôle handicap (« suivi(e) ? », puis « souhaitez-vous le rejoindre ? » avec contacts par e-mail), poursuit par 10 à 12 questions essentielles non médicales, toutes passables (« Je préfère ne pas répondre »), puis des questions complémentaires</w:t>
      </w:r>
      <w:r>
        <w:t xml:space="preserve"> </w:t>
      </w:r>
      <w:r>
        <w:rPr>
          <w:bCs/>
          <w:b/>
        </w:rPr>
        <w:t xml:space="preserve">facultatives</w:t>
      </w:r>
      <w:r>
        <w:t xml:space="preserve"> </w:t>
      </w:r>
      <w:r>
        <w:t xml:space="preserve">(17 à 24, choisies d’après les domaines cochés et le projet professionnel) est évalué</w:t>
      </w:r>
      <w:r>
        <w:t xml:space="preserve"> </w:t>
      </w:r>
      <w:r>
        <w:rPr>
          <w:bCs/>
          <w:b/>
        </w:rPr>
        <w:t xml:space="preserve">localement dans le navigateur</w:t>
      </w:r>
      <w:r>
        <w:t xml:space="preserve"> </w:t>
      </w:r>
      <w:r>
        <w:t xml:space="preserve">par un moteur de règles explicable ; le résultat est une orientation prudente (« il peut être utile d’en parler à… »), jamais un diagnostic ni une promesse. Un kit documentaire (liens officiels, guide en 6 étapes, checklist) accompagne la suite. Un tableau de bord n’expose que des compteurs agrégés protégés par un seuil. Le site s’adapte à l’ordinateur, à la tablette et au téléphone, propose des réglages pour la dyslexie, le TDAH et la malvoyance (trois polices, texte de 50 % à 300 %, contraste élevé, repère de lecture, voix réglable) et ne transfère qu’environ 52 Ko à la première visite, sans service tiers.</w:t>
      </w:r>
    </w:p>
    <w:bookmarkEnd w:id="20"/>
    <w:bookmarkStart w:id="21" w:name="contexte-et-problématique"/>
    <w:p>
      <w:pPr>
        <w:pStyle w:val="Heading2"/>
      </w:pPr>
      <w:r>
        <w:t xml:space="preserve">2. Contexte et problématique</w:t>
      </w:r>
    </w:p>
    <w:p>
      <w:pPr>
        <w:pStyle w:val="FirstParagraph"/>
      </w:pPr>
      <w:r>
        <w:t xml:space="preserve">Voir doc 01.</w:t>
      </w:r>
      <w:r>
        <w:t xml:space="preserve"> </w:t>
      </w:r>
      <w:r>
        <w:rPr>
          <w:bCs/>
          <w:b/>
        </w:rPr>
        <w:t xml:space="preserve">[Reprendre en 1 page : problème, public cible, enjeu spécifique Efrei, chiffres sourcés.]</w:t>
      </w:r>
    </w:p>
    <w:bookmarkEnd w:id="21"/>
    <w:bookmarkStart w:id="22" w:name="démarche"/>
    <w:p>
      <w:pPr>
        <w:pStyle w:val="Heading2"/>
      </w:pPr>
      <w:r>
        <w:t xml:space="preserve">3. Démarche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Ce qui a été fait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Livrable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Étude de contexte, benchmark, personas, parcours, cahier des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01–04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Wireframes, système de design, textes, maquette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Prototype, moteur de règles, kit, tableau de bord,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d’accessibilité, tests utilisateurs, analyse RGPD / éthique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05–07</w:t>
            </w:r>
          </w:p>
        </w:tc>
      </w:tr>
    </w:tbl>
    <w:p>
      <w:pPr>
        <w:pStyle w:val="BodyText"/>
      </w:pPr>
      <w:r>
        <w:rPr>
          <w:bCs/>
          <w:b/>
        </w:rPr>
        <w:t xml:space="preserve">[À COMPLÉTER : dates réelles, répartition des rôles dans l’équipe, entretiens menés (nombre, qui), difficultés rencontrées.]</w:t>
      </w:r>
    </w:p>
    <w:bookmarkEnd w:id="22"/>
    <w:bookmarkStart w:id="28" w:name="solution-réalisée"/>
    <w:p>
      <w:pPr>
        <w:pStyle w:val="Heading2"/>
      </w:pPr>
      <w:r>
        <w:t xml:space="preserve">4. Solution réalisée</w:t>
      </w:r>
    </w:p>
    <w:bookmarkStart w:id="23" w:name="parcours-utilisateur"/>
    <w:p>
      <w:pPr>
        <w:pStyle w:val="Heading3"/>
      </w:pPr>
      <w:r>
        <w:t xml:space="preserve">4.1 Parcours utilisateur</w:t>
      </w:r>
    </w:p>
    <w:p>
      <w:pPr>
        <w:pStyle w:val="FirstParagraph"/>
      </w:pPr>
      <w:r>
        <w:t xml:space="preserve">Information → question sur le pôle handicap (et, si besoin, invitation à le rejoindre avec ses contacts) → questionnaire essentiel (10 à 12 questions ; toutes passables) → écran de choix → questions complémentaires facultatives et adaptatives → restitution (4 niveaux + points d’attention +</w:t>
      </w:r>
      <w:r>
        <w:t xml:space="preserve"> </w:t>
      </w:r>
      <w:r>
        <w:rPr>
          <w:bCs/>
          <w:b/>
        </w:rPr>
        <w:t xml:space="preserve">pistes pour avancer</w:t>
      </w:r>
      <w:r>
        <w:t xml:space="preserve"> </w:t>
      </w:r>
      <w:r>
        <w:t xml:space="preserve">« ce ne sont que des pistes ») → orientation des étudiants (pôle handicap en premier, santé étudiante, scolarité, Agefiph, MDPH) → kit documentaire → impression / résumé.</w:t>
      </w:r>
    </w:p>
    <w:bookmarkEnd w:id="23"/>
    <w:bookmarkStart w:id="24" w:name="moteur-de-règles-explicable"/>
    <w:p>
      <w:pPr>
        <w:pStyle w:val="Heading3"/>
      </w:pPr>
      <w:r>
        <w:t xml:space="preserve">4.2 Moteur de règles explicable</w:t>
      </w:r>
    </w:p>
    <w:p>
      <w:pPr>
        <w:numPr>
          <w:ilvl w:val="0"/>
          <w:numId w:val="1001"/>
        </w:numPr>
        <w:pStyle w:val="Compact"/>
      </w:pPr>
      <w:r>
        <w:t xml:space="preserve">94 règles lisibles dans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 </w:t>
      </w:r>
      <w:r>
        <w:t xml:space="preserve">(26 pour le niveau et les points d’attention de base, 60 pour les pistes des questions complémentaires, 8 pour le pôle handicap et le monde du travail) (conditions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hasAny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countAtLeast</w:t>
      </w:r>
      <w:r>
        <w:t xml:space="preserve">,</w:t>
      </w:r>
      <w:r>
        <w:t xml:space="preserve"> 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Score = somme de points ; niveaux :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(0–2),</w:t>
      </w:r>
      <w:r>
        <w:t xml:space="preserve"> </w:t>
      </w:r>
      <w:r>
        <w:rPr>
          <w:rStyle w:val="VerbatimChar"/>
        </w:rPr>
        <w:t xml:space="preserve">talk</w:t>
      </w:r>
      <w:r>
        <w:t xml:space="preserve"> </w:t>
      </w:r>
      <w:r>
        <w:t xml:space="preserve">(3–5),</w:t>
      </w:r>
      <w:r>
        <w:t xml:space="preserve"> </w:t>
      </w:r>
      <w:r>
        <w:rPr>
          <w:rStyle w:val="VerbatimChar"/>
        </w:rPr>
        <w:t xml:space="preserve">talk_soon</w:t>
      </w:r>
      <w:r>
        <w:t xml:space="preserve"> </w:t>
      </w:r>
      <w:r>
        <w:t xml:space="preserve">(≥ 6) ; niveau</w:t>
      </w:r>
      <w:r>
        <w:t xml:space="preserve"> </w:t>
      </w:r>
      <w:r>
        <w:rPr>
          <w:rStyle w:val="VerbatimChar"/>
        </w:rPr>
        <w:t xml:space="preserve">already</w:t>
      </w:r>
      <w:r>
        <w:t xml:space="preserve"> </w:t>
      </w:r>
      <w:r>
        <w:t xml:space="preserve">si une reconnaissance existe déjà ; niveau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forcé si aucun signal.</w:t>
      </w:r>
    </w:p>
    <w:p>
      <w:pPr>
        <w:numPr>
          <w:ilvl w:val="0"/>
          <w:numId w:val="1001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freins</w:t>
      </w:r>
      <w:r>
        <w:t xml:space="preserve"> </w:t>
      </w:r>
      <w:r>
        <w:t xml:space="preserve">(crainte de l’employeur, du regard, complexité…), l’</w:t>
      </w:r>
      <w:r>
        <w:rPr>
          <w:bCs/>
          <w:b/>
        </w:rPr>
        <w:t xml:space="preserve">urgence</w:t>
      </w:r>
      <w:r>
        <w:t xml:space="preserve">, la</w:t>
      </w:r>
      <w:r>
        <w:t xml:space="preserve"> </w:t>
      </w:r>
      <w:r>
        <w:rPr>
          <w:bCs/>
          <w:b/>
        </w:rPr>
        <w:t xml:space="preserve">connaissance du dispositif</w:t>
      </w:r>
      <w:r>
        <w:t xml:space="preserve">, le</w:t>
      </w:r>
      <w:r>
        <w:t xml:space="preserve"> </w:t>
      </w:r>
      <w:r>
        <w:rPr>
          <w:bCs/>
          <w:b/>
        </w:rPr>
        <w:t xml:space="preserve">suivi médical</w:t>
      </w:r>
      <w:r>
        <w:t xml:space="preserve"> </w:t>
      </w:r>
      <w:r>
        <w:t xml:space="preserve">et les</w:t>
      </w:r>
      <w:r>
        <w:t xml:space="preserve"> </w:t>
      </w:r>
      <w:r>
        <w:rPr>
          <w:bCs/>
          <w:b/>
        </w:rPr>
        <w:t xml:space="preserve">questions de contexte étudiant</w:t>
      </w:r>
      <w:r>
        <w:t xml:space="preserve"> </w:t>
      </w:r>
      <w:r>
        <w:rPr>
          <w:bCs/>
          <w:b/>
        </w:rPr>
        <w:t xml:space="preserve">ne modifient pas le score</w:t>
      </w:r>
      <w:r>
        <w:t xml:space="preserve"> </w:t>
      </w:r>
      <w:r>
        <w:t xml:space="preserve">: ils personnalisent seulement les messages et l’ordre des contacts. C’est un choix éthique : on n’augmente pas un « niveau » à cause de la peur ou d’un délai.</w:t>
      </w:r>
    </w:p>
    <w:p>
      <w:pPr>
        <w:numPr>
          <w:ilvl w:val="0"/>
          <w:numId w:val="1001"/>
        </w:numPr>
        <w:pStyle w:val="Compact"/>
      </w:pPr>
      <w:r>
        <w:t xml:space="preserve">Chaque règle déclenchée est</w:t>
      </w:r>
      <w:r>
        <w:t xml:space="preserve"> </w:t>
      </w:r>
      <w:r>
        <w:rPr>
          <w:bCs/>
          <w:b/>
        </w:rPr>
        <w:t xml:space="preserve">affichée</w:t>
      </w:r>
      <w:r>
        <w:t xml:space="preserve"> </w:t>
      </w:r>
      <w:r>
        <w:t xml:space="preserve">à la personne avec ses points.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Limite assumée</w:t>
      </w:r>
      <w:r>
        <w:t xml:space="preserve"> </w:t>
      </w:r>
      <w:r>
        <w:t xml:space="preserve">: les seuils sont des</w:t>
      </w:r>
      <w:r>
        <w:t xml:space="preserve"> </w:t>
      </w:r>
      <w:r>
        <w:rPr>
          <w:bCs/>
          <w:b/>
        </w:rPr>
        <w:t xml:space="preserve">heuristiques de travail</w:t>
      </w:r>
      <w:r>
        <w:t xml:space="preserve">, non validées cliniquement.</w:t>
      </w:r>
      <w:r>
        <w:t xml:space="preserve"> </w:t>
      </w:r>
      <w:r>
        <w:rPr>
          <w:bCs/>
          <w:b/>
        </w:rPr>
        <w:t xml:space="preserve">[À COMPLÉTER : résultat de la relecture par la pôle handicap / un professionnel.]</w:t>
      </w:r>
    </w:p>
    <w:bookmarkEnd w:id="24"/>
    <w:bookmarkStart w:id="25" w:name="architecture"/>
    <w:p>
      <w:pPr>
        <w:pStyle w:val="Heading3"/>
      </w:pPr>
      <w:r>
        <w:t xml:space="preserve">4.3 Architecture</w:t>
      </w:r>
    </w:p>
    <w:p>
      <w:pPr>
        <w:pStyle w:val="FirstParagraph"/>
      </w:pPr>
      <w:r>
        <w:t xml:space="preserve">Voir doc 04 §7. Navigateur : HTML + CSS + JavaScript natif, aucune dépendance. Serveur Node ≈ 250 lignes, aucune dépendance : fichiers statiques,</w:t>
      </w:r>
      <w:r>
        <w:t xml:space="preserve"> </w:t>
      </w:r>
      <w:r>
        <w:rPr>
          <w:rStyle w:val="VerbatimChar"/>
        </w:rPr>
        <w:t xml:space="preserve">POST /api/event</w:t>
      </w:r>
      <w:r>
        <w:t xml:space="preserve"> </w:t>
      </w:r>
      <w:r>
        <w:t xml:space="preserve">(liste blanche),</w:t>
      </w:r>
      <w:r>
        <w:t xml:space="preserve"> </w:t>
      </w:r>
      <w:r>
        <w:rPr>
          <w:rStyle w:val="VerbatimChar"/>
        </w:rPr>
        <w:t xml:space="preserve">GET /api/stats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/api/export.csv</w:t>
      </w:r>
      <w:r>
        <w:t xml:space="preserve"> </w:t>
      </w:r>
      <w:r>
        <w:t xml:space="preserve">(jeton).</w:t>
      </w:r>
    </w:p>
    <w:bookmarkEnd w:id="25"/>
    <w:bookmarkStart w:id="26" w:name="vie-privée-par-conception"/>
    <w:p>
      <w:pPr>
        <w:pStyle w:val="Heading3"/>
      </w:pPr>
      <w:r>
        <w:t xml:space="preserve">4.4 Vie privée par conception</w:t>
      </w:r>
    </w:p>
    <w:p>
      <w:pPr>
        <w:pStyle w:val="FirstParagraph"/>
      </w:pPr>
      <w:r>
        <w:t xml:space="preserve">Aucune réponse stockée ni envoyée ; compteurs</w:t>
      </w:r>
      <w:r>
        <w:t xml:space="preserve"> </w:t>
      </w:r>
      <w:r>
        <w:rPr>
          <w:bCs/>
          <w:b/>
        </w:rPr>
        <w:t xml:space="preserve">séparés</w:t>
      </w:r>
      <w:r>
        <w:t xml:space="preserve"> </w:t>
      </w:r>
      <w:r>
        <w:t xml:space="preserve">(jamais profil × niveau) ; seuil k = 5 avec suppression complémentaire ; journal sans IP ni User-Agent ; Do Not Track et GPC respectés ; aucun cookie ni service tiers. Détail : doc 07.</w:t>
      </w:r>
    </w:p>
    <w:bookmarkEnd w:id="26"/>
    <w:bookmarkStart w:id="27" w:name="Xa9e7b191341159527bca68dd5b4045eed85e18c"/>
    <w:p>
      <w:pPr>
        <w:pStyle w:val="Heading3"/>
      </w:pPr>
      <w:r>
        <w:t xml:space="preserve">4.5 Fonctionnalités ajoutées pour se démarquer</w:t>
      </w:r>
    </w:p>
    <w:p>
      <w:pPr>
        <w:pStyle w:val="FirstParagraph"/>
      </w:pPr>
      <w:r>
        <w:rPr>
          <w:bCs/>
          <w:b/>
        </w:rPr>
        <w:t xml:space="preserve">Réglages dans une page dédiée</w:t>
      </w:r>
      <w:r>
        <w:t xml:space="preserve"> </w:t>
      </w:r>
      <w:r>
        <w:t xml:space="preserve">(avec Retour) ·</w:t>
      </w:r>
      <w:r>
        <w:t xml:space="preserve"> </w:t>
      </w:r>
      <w:r>
        <w:rPr>
          <w:bCs/>
          <w:b/>
        </w:rPr>
        <w:t xml:space="preserve">questionnaire adaptatif et pistes personnalisées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espace administrateur intégré au site, avec comptes et tableau de bord visuel</w:t>
      </w:r>
      <w:r>
        <w:t xml:space="preserve"> </w:t>
      </w:r>
      <w:r>
        <w:t xml:space="preserve">· pied de page minimal « © Équipe HandiDiag » · mode texte simplifié inspiré du FALC · FR/EN · thèmes clair, sombre et contraste élevé ·</w:t>
      </w:r>
      <w:r>
        <w:t xml:space="preserve"> </w:t>
      </w:r>
      <w:r>
        <w:rPr>
          <w:bCs/>
          <w:b/>
        </w:rPr>
        <w:t xml:space="preserve">taille du texte de 50 % à 300 %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polices Atkinson Hyperlegible, Lexend et OpenDyslexic</w:t>
      </w:r>
      <w:r>
        <w:t xml:space="preserve"> </w:t>
      </w:r>
      <w:r>
        <w:t xml:space="preserve">(locales, à la demande) ·</w:t>
      </w:r>
      <w:r>
        <w:t xml:space="preserve"> </w:t>
      </w:r>
      <w:r>
        <w:rPr>
          <w:bCs/>
          <w:b/>
        </w:rPr>
        <w:t xml:space="preserve">profils rapides</w:t>
      </w:r>
      <w:r>
        <w:t xml:space="preserve"> </w:t>
      </w:r>
      <w:r>
        <w:t xml:space="preserve">dyslexie / TDAH / malvoyance · repère de lecture · espacement renforcé ·</w:t>
      </w:r>
      <w:r>
        <w:t xml:space="preserve"> </w:t>
      </w:r>
      <w:r>
        <w:rPr>
          <w:bCs/>
          <w:b/>
        </w:rPr>
        <w:t xml:space="preserve">lecture à voix haute plus naturelle</w:t>
      </w:r>
      <w:r>
        <w:t xml:space="preserve"> </w:t>
      </w:r>
      <w:r>
        <w:t xml:space="preserve">· mémorisation facultative des réglages · statistiques désactivables ·</w:t>
      </w:r>
      <w:r>
        <w:t xml:space="preserve"> </w:t>
      </w:r>
      <w:r>
        <w:rPr>
          <w:bCs/>
          <w:b/>
        </w:rPr>
        <w:t xml:space="preserve">boutons Imprimer et Télécharger en PDF distincts (PDF généré dans le navigateur)</w:t>
      </w:r>
      <w:r>
        <w:t xml:space="preserve"> </w:t>
      </w:r>
      <w:r>
        <w:t xml:space="preserve">et résumé texte · contacts tenus au secret médical placés en premier lorsque la crainte d’être identifié est exprimée · indicateur d’écoconception ·</w:t>
      </w:r>
      <w:r>
        <w:t xml:space="preserve"> </w:t>
      </w:r>
      <w:r>
        <w:rPr>
          <w:bCs/>
          <w:b/>
        </w:rPr>
        <w:t xml:space="preserve">lecture à voix haute de l’accueil et du kit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espace administrateur et page 404 traduits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bouton Valider toujours visible</w:t>
      </w:r>
      <w:r>
        <w:t xml:space="preserve">.</w:t>
      </w:r>
    </w:p>
    <w:bookmarkEnd w:id="27"/>
    <w:bookmarkEnd w:id="28"/>
    <w:bookmarkStart w:id="33" w:name="résultats"/>
    <w:p>
      <w:pPr>
        <w:pStyle w:val="Heading2"/>
      </w:pPr>
      <w:r>
        <w:t xml:space="preserve">5. Résultats</w:t>
      </w:r>
    </w:p>
    <w:bookmarkStart w:id="29" w:name="mesures-techniques-réelles"/>
    <w:p>
      <w:pPr>
        <w:pStyle w:val="Heading3"/>
      </w:pPr>
      <w:r>
        <w:t xml:space="preserve">5.1 Mesures techniques (réelles)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Résultat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automatiques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 / 64 réussis</w:t>
            </w:r>
            <w:r>
              <w:t xml:space="preserve"> </w:t>
            </w:r>
            <w:r>
              <w:t xml:space="preserve">(moteur, questionnaire adaptatif, voix, PDF, contenus FR/EN, comptes admin, sécurité, compression)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dans un vrai navigateur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157 / 157 contrôles réussis</w:t>
            </w:r>
            <w:r>
              <w:t xml:space="preserve"> </w:t>
            </w:r>
            <w:r>
              <w:t xml:space="preserve">(3 formats d’écran, questionnaire adaptatif et pistes, réglages en page, texte 50 % et 300 %, polices, bouton retour, PDF téléchargé, espace admin : connexion, données fictives, remise à zéro, mot de passe)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automatique d’accessibilité (axe-core, WCAG 2.2 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violation sur 20 écrans et thèmes</w:t>
            </w:r>
            <w:r>
              <w:t xml:space="preserve"> </w:t>
            </w:r>
            <w:r>
              <w:t xml:space="preserve">(dont l’espace administrateur) après correction de 2 défauts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Poids de l’application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196 Ko bruts ; 52 Ko réellement transférés à la première visite</w:t>
            </w:r>
            <w:r>
              <w:t xml:space="preserve"> </w:t>
            </w:r>
            <w:r>
              <w:t xml:space="preserve">(brotli, en-têtes compris ; objectif ≤ 60 Ko). Espace admin, seconde langue et polices :</w:t>
            </w:r>
            <w:r>
              <w:t xml:space="preserve"> </w:t>
            </w:r>
            <w:r>
              <w:rPr>
                <w:bCs/>
                <w:b/>
              </w:rPr>
              <w:t xml:space="preserve">à la demande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réseau dans 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Ressources externes / services tiers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Parcours complet dans</w:t>
            </w:r>
            <w:r>
              <w:t xml:space="preserve"> </w:t>
            </w:r>
            <w:r>
              <w:rPr>
                <w:bCs/>
                <w:b/>
              </w:rPr>
              <w:t xml:space="preserve">Chrome</w:t>
            </w:r>
            <w:r>
              <w:t xml:space="preserve"> </w:t>
            </w:r>
            <w:r>
              <w:t xml:space="preserve">: téléphone 375 px, tablette 768 px, ordinateur 1280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Réussi,</w:t>
            </w:r>
            <w:r>
              <w:t xml:space="preserve"> </w:t>
            </w:r>
            <w:r>
              <w:rPr>
                <w:bCs/>
                <w:b/>
              </w:rPr>
              <w:t xml:space="preserve">aucun débordement horizontal</w:t>
            </w:r>
            <w:r>
              <w:t xml:space="preserve">, aucune erreur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navigateur avec captures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Texte à</w:t>
            </w:r>
            <w:r>
              <w:t xml:space="preserve"> </w:t>
            </w:r>
            <w:r>
              <w:rPr>
                <w:bCs/>
                <w:b/>
              </w:rPr>
              <w:t xml:space="preserve">50 %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300 %</w:t>
            </w:r>
            <w:r>
              <w:t xml:space="preserve"> </w:t>
            </w:r>
            <w:r>
              <w:t xml:space="preserve">(mobile et ordinateur)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Réussi : tailles de base mesurées (8 px / 48 px), aucun débordement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navigateur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Polices, profils, mémorisation facultative des réglages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Appliqués ; aucune police téléchargée par défaut ; rien de stocké sans coche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navigateur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Défauts détectés puis corrigés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  <w:r>
              <w:t xml:space="preserve"> </w:t>
            </w:r>
            <w:r>
              <w:t xml:space="preserve">(dont bordures à 1.73:1 → 4.16:1 ; bouton de langue qui recouvrait le logo ; titres sautant un niveau ; formulaire admin qui se vidait ; limite anti-spam bloquant la démonstration)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06 §2.1</w:t>
            </w:r>
          </w:p>
        </w:tc>
      </w:tr>
    </w:tbl>
    <w:bookmarkEnd w:id="29"/>
    <w:bookmarkStart w:id="30" w:name="accessibilité"/>
    <w:p>
      <w:pPr>
        <w:pStyle w:val="Heading3"/>
      </w:pPr>
      <w:r>
        <w:t xml:space="preserve">5.2 Accessibilité</w:t>
      </w:r>
    </w:p>
    <w:p>
      <w:pPr>
        <w:pStyle w:val="FirstParagraph"/>
      </w:pPr>
      <w:r>
        <w:t xml:space="preserve">Contrastes calculés et conformes (doc 06).</w:t>
      </w:r>
      <w:r>
        <w:t xml:space="preserve"> </w:t>
      </w:r>
      <w:r>
        <w:rPr>
          <w:bCs/>
          <w:b/>
        </w:rPr>
        <w:t xml:space="preserve">[À COMPLÉTER : taux de conformité RGAA après audit manuel, tests NVDA / VoiceOver / TalkBack, écarts restants.]</w:t>
      </w:r>
    </w:p>
    <w:bookmarkEnd w:id="30"/>
    <w:bookmarkStart w:id="31" w:name="tests-utilisateurs"/>
    <w:p>
      <w:pPr>
        <w:pStyle w:val="Heading3"/>
      </w:pPr>
      <w:r>
        <w:t xml:space="preserve">5.3 Tests utilisateurs</w:t>
      </w:r>
    </w:p>
    <w:p>
      <w:pPr>
        <w:pStyle w:val="FirstParagraph"/>
      </w:pPr>
      <w:r>
        <w:rPr>
          <w:bCs/>
          <w:b/>
        </w:rPr>
        <w:t xml:space="preserve">[À COMPLÉTER : nombre de participants, % de parcours réussis seuls, score SUS, « je sais ce que je ferais ensuite », problèmes trouvés et corrections. Utiliser les grilles du doc 05 §6.]</w:t>
      </w:r>
    </w:p>
    <w:bookmarkEnd w:id="31"/>
    <w:bookmarkStart w:id="32" w:name="validation-par-la-pôle-handicap"/>
    <w:p>
      <w:pPr>
        <w:pStyle w:val="Heading3"/>
      </w:pPr>
      <w:r>
        <w:t xml:space="preserve">5.4 Validation par la pôle handicap</w:t>
      </w:r>
    </w:p>
    <w:p>
      <w:pPr>
        <w:pStyle w:val="FirstParagraph"/>
      </w:pPr>
      <w:r>
        <w:rPr>
          <w:bCs/>
          <w:b/>
        </w:rPr>
        <w:t xml:space="preserve">[À COMPLÉTER : date, retours sur le ton, les questions, les seuils, les contacts ; modifications effectuées.]</w:t>
      </w:r>
    </w:p>
    <w:bookmarkEnd w:id="32"/>
    <w:bookmarkEnd w:id="33"/>
    <w:bookmarkStart w:id="34" w:name="atteinte-des-objectifs"/>
    <w:p>
      <w:pPr>
        <w:pStyle w:val="Heading2"/>
      </w:pPr>
      <w:r>
        <w:t xml:space="preserve">6. Atteinte des objectifs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Objectif (doc 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Résultat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 Compréhension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mesurer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4/5 savent citer un interlocuteur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mesurer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 Utilisabilité (SUS)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mesurer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 Accessibilité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écart bloquant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 après audit]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mesurer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 Vie privée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donnée individuelle stockée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(conception + tests automatiques)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 Sobriété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Ko transférés, 0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52 Ko mesurés, 0 tiers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Atteint</w:t>
            </w:r>
          </w:p>
        </w:tc>
      </w:tr>
    </w:tbl>
    <w:bookmarkEnd w:id="34"/>
    <w:bookmarkStart w:id="35" w:name="limites-et-risques-résiduels"/>
    <w:p>
      <w:pPr>
        <w:pStyle w:val="Heading2"/>
      </w:pPr>
      <w:r>
        <w:t xml:space="preserve">7. Limites et risques résiduels</w:t>
      </w:r>
    </w:p>
    <w:p>
      <w:pPr>
        <w:numPr>
          <w:ilvl w:val="0"/>
          <w:numId w:val="1002"/>
        </w:numPr>
      </w:pPr>
      <w:r>
        <w:t xml:space="preserve">Seuils du moteur non validés par des professionnels.</w:t>
      </w:r>
    </w:p>
    <w:p>
      <w:pPr>
        <w:numPr>
          <w:ilvl w:val="0"/>
          <w:numId w:val="1002"/>
        </w:numPr>
      </w:pPr>
      <w:r>
        <w:t xml:space="preserve">Contacts propres à l’Efrei génériques, à remplacer par les contacts réels.</w:t>
      </w:r>
    </w:p>
    <w:p>
      <w:pPr>
        <w:numPr>
          <w:ilvl w:val="0"/>
          <w:numId w:val="1002"/>
        </w:numPr>
      </w:pPr>
      <w:r>
        <w:t xml:space="preserve">Mode simplifié non certifié FALC.</w:t>
      </w:r>
    </w:p>
    <w:p>
      <w:pPr>
        <w:numPr>
          <w:ilvl w:val="0"/>
          <w:numId w:val="1002"/>
        </w:numPr>
      </w:pPr>
      <w:r>
        <w:t xml:space="preserve">Audit manuel, lecteurs d’écran, appareils réels et tests utilisateurs à réaliser (l’affichage n’a été vérifié que dans Chrome).</w:t>
      </w:r>
      <w:r>
        <w:t xml:space="preserve"> </w:t>
      </w:r>
      <w:r>
        <w:t xml:space="preserve">4 bis. Les polices d’aide à la lecture sont des options de confort, non prouvées comme efficaces pour tous ; la qualité de la voix dépend du navigateur et de l’appareil.</w:t>
      </w:r>
    </w:p>
    <w:p>
      <w:pPr>
        <w:numPr>
          <w:ilvl w:val="0"/>
          <w:numId w:val="1002"/>
        </w:numPr>
      </w:pPr>
      <w:r>
        <w:t xml:space="preserve">Journaux de l’hébergeur à maîtriser (doc 07 §5).</w:t>
      </w:r>
    </w:p>
    <w:p>
      <w:pPr>
        <w:numPr>
          <w:ilvl w:val="0"/>
          <w:numId w:val="1002"/>
        </w:numPr>
      </w:pPr>
      <w:r>
        <w:t xml:space="preserve">Risque de réidentification dans une petite population : tableau de bord à n’ouvrir que si la volumétrie le justifie.</w:t>
      </w:r>
    </w:p>
    <w:p>
      <w:pPr>
        <w:numPr>
          <w:ilvl w:val="0"/>
          <w:numId w:val="1002"/>
        </w:numPr>
      </w:pPr>
      <w:r>
        <w:t xml:space="preserve">Liens officiels à re-vérifier avant chaque mise en ligne.</w:t>
      </w:r>
    </w:p>
    <w:bookmarkEnd w:id="35"/>
    <w:bookmarkStart w:id="36" w:name="perspectives"/>
    <w:p>
      <w:pPr>
        <w:pStyle w:val="Heading2"/>
      </w:pPr>
      <w:r>
        <w:t xml:space="preserve">8. Perspectives</w:t>
      </w:r>
    </w:p>
    <w:p>
      <w:pPr>
        <w:numPr>
          <w:ilvl w:val="0"/>
          <w:numId w:val="1003"/>
        </w:numPr>
        <w:pStyle w:val="Compact"/>
      </w:pPr>
      <w:r>
        <w:t xml:space="preserve">Relecture et co-construction des textes avec des personnes concernées ; FALC certifié.</w:t>
      </w:r>
    </w:p>
    <w:p>
      <w:pPr>
        <w:numPr>
          <w:ilvl w:val="0"/>
          <w:numId w:val="1003"/>
        </w:numPr>
        <w:pStyle w:val="Compact"/>
      </w:pPr>
      <w:r>
        <w:t xml:space="preserve">Autres langues (le module est extensible : un fichier</w:t>
      </w:r>
      <w:r>
        <w:t xml:space="preserve"> </w:t>
      </w:r>
      <w:r>
        <w:rPr>
          <w:rStyle w:val="VerbatimChar"/>
        </w:rPr>
        <w:t xml:space="preserve">i18n/xx.json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Version « hors ligne » installable (PWA) pour limiter encore les échanges.</w:t>
      </w:r>
    </w:p>
    <w:p>
      <w:pPr>
        <w:numPr>
          <w:ilvl w:val="0"/>
          <w:numId w:val="1003"/>
        </w:numPr>
        <w:pStyle w:val="Compact"/>
      </w:pPr>
      <w:r>
        <w:t xml:space="preserve">Parcours dédiés (apprentis, alternants, agents des trois fonctions publiques).</w:t>
      </w:r>
    </w:p>
    <w:p>
      <w:pPr>
        <w:numPr>
          <w:ilvl w:val="0"/>
          <w:numId w:val="1003"/>
        </w:numPr>
        <w:pStyle w:val="Compact"/>
      </w:pPr>
      <w:r>
        <w:t xml:space="preserve">Mise à jour assistée des liens officiels (vérification automatique de leur disponibilité).</w:t>
      </w:r>
    </w:p>
    <w:p>
      <w:pPr>
        <w:numPr>
          <w:ilvl w:val="0"/>
          <w:numId w:val="1003"/>
        </w:numPr>
        <w:pStyle w:val="Compact"/>
      </w:pPr>
      <w:r>
        <w:t xml:space="preserve">Évaluation d’impact avec la pôle handicap (contacts effectivement pris, sans pistage individuel).</w:t>
      </w:r>
    </w:p>
    <w:bookmarkEnd w:id="36"/>
    <w:bookmarkStart w:id="37" w:name="bilan-de-léquipe"/>
    <w:p>
      <w:pPr>
        <w:pStyle w:val="Heading2"/>
      </w:pPr>
      <w:r>
        <w:t xml:space="preserve">9. Bilan de l’équipe</w:t>
      </w:r>
    </w:p>
    <w:p>
      <w:pPr>
        <w:pStyle w:val="FirstParagraph"/>
      </w:pPr>
      <w:r>
        <w:rPr>
          <w:bCs/>
          <w:b/>
        </w:rPr>
        <w:t xml:space="preserve">[À COMPLÉTER : ce qui a bien fonctionné, ce qui a été difficile, apports personnels, ce qu’on referait autrement.]</w:t>
      </w:r>
    </w:p>
    <w:bookmarkEnd w:id="37"/>
    <w:bookmarkStart w:id="38" w:name="annexes"/>
    <w:p>
      <w:pPr>
        <w:pStyle w:val="Heading2"/>
      </w:pPr>
      <w:r>
        <w:t xml:space="preserve">10. Annexes</w:t>
      </w:r>
    </w:p>
    <w:p>
      <w:pPr>
        <w:pStyle w:val="FirstParagraph"/>
      </w:pPr>
      <w:r>
        <w:t xml:space="preserve">A. Cahier des charges (doc 04) · B. Personas et parcours (doc 03) · C. Wireframes et protocole de test (doc 05) · D. Audit d’accessibilité (doc 06) · E. Analyse RGPD / éthique (doc 07) · F. Scénario de démonstration (doc 09) · G. Code source et README.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2026-10-24T15:56:54Z</dcterms:created>
  <dcterms:modified xsi:type="dcterms:W3CDTF">2026-10-24T15:56:54Z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