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ffre-dynamique"/>
    <w:p>
      <w:pPr>
        <w:pStyle w:val="Heading2"/>
      </w:pPr>
      <w:r>
        <w:t xml:space="preserve">Offre Dynamique</w:t>
      </w:r>
    </w:p>
    <w:p>
      <w:pPr>
        <w:pStyle w:val="FirstParagraph"/>
      </w:pPr>
      <w:r>
        <w:t xml:space="preserve">L’objectif de cette offre est la recherche de performance sur un horizon d’investissement de plus de 5 ans en s’exposant via l’investissement dans des sous-jacents investissants ou investis eux-mêmes principalement sur les marchés d'actions, dans une moindre mesure sur les marchés de taux et monétaires.</w:t>
      </w:r>
    </w:p>
    <w:p>
      <w:pPr>
        <w:pStyle w:val="BodyText"/>
      </w:pPr>
      <w:r>
        <w:t xml:space="preserve">Afin de répondre à vos objectifs de placement, nous avons mis en place un processus de sélection des solutions de placements qui s’appuie successivement sur une analyse quantitative et qualitative. La sélection de ces solutions s’appuiera sur la répartition suivante :</w:t>
      </w:r>
    </w:p>
    <w:p>
      <w:pPr>
        <w:numPr>
          <w:ilvl w:val="0"/>
          <w:numId w:val="1001"/>
        </w:numPr>
      </w:pPr>
      <w:r>
        <w:t xml:space="preserve">de 0 à 100% des investissements dans des placements de droit français toute classification incluant du monétaire et des obligations d’émetteurs publics ou privés.</w:t>
      </w:r>
    </w:p>
    <w:p>
      <w:pPr>
        <w:numPr>
          <w:ilvl w:val="0"/>
          <w:numId w:val="1001"/>
        </w:numPr>
      </w:pPr>
      <w:r>
        <w:t xml:space="preserve">de 0 à 40% des investissements dans des placements de droit français et européen de toute classification spécialisés sur les marchés actions en titres de sociétés de tous secteurs, de grande, moyenne ou petite capitalisation, et émis sur les marchés français et internationaux.</w:t>
      </w:r>
    </w:p>
    <w:p>
      <w:pPr>
        <w:numPr>
          <w:ilvl w:val="0"/>
          <w:numId w:val="1001"/>
        </w:numPr>
      </w:pPr>
      <w:r>
        <w:t xml:space="preserve">l’exposition aux marchés actions pourra varier de 0 à 100% de l’investissement.</w:t>
      </w:r>
    </w:p>
    <w:p>
      <w:pPr>
        <w:numPr>
          <w:ilvl w:val="0"/>
          <w:numId w:val="1001"/>
        </w:numPr>
      </w:pPr>
      <w:r>
        <w:t xml:space="preserve">l’univers global de placement s’étend à toutes zones géographiques y compris les pays émergents dans la limite de 10% des investissements.</w:t>
      </w:r>
    </w:p>
    <w:p>
      <w:pPr>
        <w:numPr>
          <w:ilvl w:val="0"/>
          <w:numId w:val="1001"/>
        </w:numPr>
      </w:pPr>
      <w:r>
        <w:t xml:space="preserve">le risque de change sera limité à 40% des placements.</w:t>
      </w:r>
    </w:p>
    <w:p>
      <w:pPr>
        <w:numPr>
          <w:ilvl w:val="0"/>
          <w:numId w:val="1001"/>
        </w:numPr>
      </w:pPr>
      <w:r>
        <w:t xml:space="preserve">Cette offre pourrait ne pas convenir aux investisseurs qui prévoient de retirer leur apport avant 5 ans.</w:t>
      </w:r>
    </w:p>
    <w:p>
      <w:pPr>
        <w:pStyle w:val="FirstParagraph"/>
      </w:pPr>
      <w:r>
        <w:t xml:space="preserve">Les clients cibles de l’offre sont :</w:t>
      </w:r>
    </w:p>
    <w:p>
      <w:pPr>
        <w:numPr>
          <w:ilvl w:val="0"/>
          <w:numId w:val="1002"/>
        </w:numPr>
      </w:pPr>
      <w:r>
        <w:t xml:space="preserve">les clients dont la durée d'investissement est supérieure à 5 ans;</w:t>
      </w:r>
    </w:p>
    <w:p>
      <w:pPr>
        <w:numPr>
          <w:ilvl w:val="0"/>
          <w:numId w:val="1002"/>
        </w:numPr>
      </w:pPr>
      <w:r>
        <w:t xml:space="preserve">les clients dont les compétences et expériences en matières financières sont affirmées, acceptant une perte de l’investissement maximum entre 10 et 15%;</w:t>
      </w:r>
    </w:p>
    <w:p>
      <w:pPr>
        <w:numPr>
          <w:ilvl w:val="0"/>
          <w:numId w:val="1002"/>
        </w:numPr>
      </w:pPr>
      <w:r>
        <w:t xml:space="preserve">les clients qui ne souhaitent pas disposer de liquidité de ce placement.</w:t>
      </w:r>
    </w:p>
    <w:p>
      <w:pPr>
        <w:pStyle w:val="FirstParagraph"/>
      </w:pPr>
      <w:r>
        <w:t xml:space="preserve">Aucun indice ne reflète la stratégie de gestion de l’offre. Toutefois sa performance pourra être comparée a posteriori à l’indicateur composite</w:t>
      </w:r>
    </w:p>
    <w:p>
      <w:pPr>
        <w:numPr>
          <w:ilvl w:val="0"/>
          <w:numId w:val="1003"/>
        </w:numPr>
      </w:pPr>
      <w:r>
        <w:t xml:space="preserve">60% MSCI$ World (dividendes réinvestis)</w:t>
      </w:r>
    </w:p>
    <w:p>
      <w:pPr>
        <w:numPr>
          <w:ilvl w:val="0"/>
          <w:numId w:val="1003"/>
        </w:numPr>
      </w:pPr>
      <w:r>
        <w:t xml:space="preserve">15% CTG$ WGBI (coupons réinvestis)</w:t>
      </w:r>
    </w:p>
    <w:p>
      <w:pPr>
        <w:numPr>
          <w:ilvl w:val="0"/>
          <w:numId w:val="1003"/>
        </w:numPr>
      </w:pPr>
      <w:r>
        <w:t xml:space="preserve">25% FTSE MTS EMU Gov Bond Ind (coupons réinvestis).</w:t>
      </w:r>
      <w:r>
        <w:t xml:space="preserve"> </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2025-10-03T13:12:38Z</dcterms:created>
  <dcterms:modified xsi:type="dcterms:W3CDTF">2025-10-03T13:12:38Z</dcterms:modified>
</cp:coreProperties>
</file>

<file path=docProps/custom.xml><?xml version="1.0" encoding="utf-8"?>
<Properties xmlns="http://schemas.openxmlformats.org/officeDocument/2006/custom-properties" xmlns:vt="http://schemas.openxmlformats.org/officeDocument/2006/docPropsVTypes"/>
</file>