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BBCC0" w14:textId="77777777" w:rsidR="00036950" w:rsidRDefault="00000000">
      <w:pPr>
        <w:jc w:val="center"/>
      </w:pPr>
      <w:r>
        <w:rPr>
          <w:b/>
          <w:color w:val="1F4E79"/>
          <w:sz w:val="24"/>
        </w:rPr>
        <w:t>UNIVERSIDAD DE CALDAS</w:t>
      </w:r>
    </w:p>
    <w:p w14:paraId="34D4E033" w14:textId="77777777" w:rsidR="00036950" w:rsidRDefault="00000000">
      <w:pPr>
        <w:jc w:val="center"/>
      </w:pPr>
      <w:r>
        <w:rPr>
          <w:b/>
          <w:color w:val="1F4E79"/>
          <w:sz w:val="24"/>
        </w:rPr>
        <w:t>FACULTAD DE INTELIGENCIA ARTIFICIAL E INGENIERÍA</w:t>
      </w:r>
    </w:p>
    <w:p w14:paraId="65A9E52F" w14:textId="77777777" w:rsidR="00036950" w:rsidRDefault="00000000">
      <w:pPr>
        <w:jc w:val="center"/>
      </w:pPr>
      <w:r>
        <w:rPr>
          <w:b/>
          <w:color w:val="1F4E79"/>
          <w:sz w:val="24"/>
        </w:rPr>
        <w:t>PROGRAMA DE INGENIERÍA INFORMÁTICA</w:t>
      </w:r>
    </w:p>
    <w:p w14:paraId="41CA220D" w14:textId="77777777" w:rsidR="00036950" w:rsidRDefault="00000000">
      <w:r>
        <w:br/>
      </w:r>
    </w:p>
    <w:p w14:paraId="02892EBC" w14:textId="77777777" w:rsidR="00036950" w:rsidRDefault="00000000">
      <w:pPr>
        <w:jc w:val="center"/>
      </w:pPr>
      <w:r>
        <w:rPr>
          <w:b/>
          <w:color w:val="1F4E79"/>
          <w:sz w:val="48"/>
        </w:rPr>
        <w:t>MONEYMIND</w:t>
      </w:r>
    </w:p>
    <w:p w14:paraId="63D285E3" w14:textId="77777777" w:rsidR="00036950" w:rsidRDefault="00000000">
      <w:pPr>
        <w:jc w:val="center"/>
      </w:pPr>
      <w:r>
        <w:rPr>
          <w:b/>
          <w:sz w:val="28"/>
        </w:rPr>
        <w:t>Sistema de Gestión de Finanzas Personales con Recomendaciones Ecológicas y Notificaciones en Tiempo Real</w:t>
      </w:r>
    </w:p>
    <w:p w14:paraId="1E673A06" w14:textId="77777777" w:rsidR="00036950" w:rsidRDefault="00000000">
      <w:r>
        <w:br/>
      </w:r>
    </w:p>
    <w:tbl>
      <w:tblPr>
        <w:tblStyle w:val="Tablaconcuadrcula"/>
        <w:tblW w:w="0" w:type="auto"/>
        <w:jc w:val="center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6" w:space="0" w:color="8EA9DB"/>
          <w:insideV w:val="single" w:sz="6" w:space="0" w:color="8EA9DB"/>
        </w:tblBorders>
        <w:tblLook w:val="04A0" w:firstRow="1" w:lastRow="0" w:firstColumn="1" w:lastColumn="0" w:noHBand="0" w:noVBand="1"/>
      </w:tblPr>
      <w:tblGrid>
        <w:gridCol w:w="2880"/>
        <w:gridCol w:w="6624"/>
      </w:tblGrid>
      <w:tr w:rsidR="00036950" w14:paraId="4681E1A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29B984" w14:textId="77777777" w:rsidR="00036950" w:rsidRDefault="00000000">
            <w:r>
              <w:rPr>
                <w:b/>
                <w:color w:val="1F4E79"/>
                <w:sz w:val="17"/>
              </w:rPr>
              <w:t>Campo</w:t>
            </w:r>
          </w:p>
        </w:tc>
        <w:tc>
          <w:tcPr>
            <w:tcW w:w="6624" w:type="dxa"/>
            <w:shd w:val="clear" w:color="auto" w:fill="D9EAF7"/>
            <w:vAlign w:val="center"/>
          </w:tcPr>
          <w:p w14:paraId="50BEE5C7" w14:textId="77777777" w:rsidR="00036950" w:rsidRDefault="00000000">
            <w:r>
              <w:rPr>
                <w:b/>
                <w:color w:val="1F4E79"/>
                <w:sz w:val="17"/>
              </w:rPr>
              <w:t>Información</w:t>
            </w:r>
          </w:p>
        </w:tc>
      </w:tr>
      <w:tr w:rsidR="00036950" w14:paraId="4C61E981" w14:textId="77777777">
        <w:trPr>
          <w:jc w:val="center"/>
        </w:trPr>
        <w:tc>
          <w:tcPr>
            <w:tcW w:w="2880" w:type="dxa"/>
          </w:tcPr>
          <w:p w14:paraId="7FB9AB43" w14:textId="77777777" w:rsidR="00036950" w:rsidRDefault="00000000">
            <w:r>
              <w:rPr>
                <w:sz w:val="17"/>
              </w:rPr>
              <w:t>Tipo de documento</w:t>
            </w:r>
          </w:p>
        </w:tc>
        <w:tc>
          <w:tcPr>
            <w:tcW w:w="6624" w:type="dxa"/>
          </w:tcPr>
          <w:p w14:paraId="10EC1803" w14:textId="77777777" w:rsidR="00036950" w:rsidRDefault="00000000">
            <w:r>
              <w:rPr>
                <w:sz w:val="17"/>
              </w:rPr>
              <w:t>Arquitectura del Sistema</w:t>
            </w:r>
          </w:p>
        </w:tc>
      </w:tr>
      <w:tr w:rsidR="00036950" w14:paraId="69009A09" w14:textId="77777777">
        <w:trPr>
          <w:jc w:val="center"/>
        </w:trPr>
        <w:tc>
          <w:tcPr>
            <w:tcW w:w="2880" w:type="dxa"/>
          </w:tcPr>
          <w:p w14:paraId="6347DF77" w14:textId="77777777" w:rsidR="00036950" w:rsidRDefault="00000000">
            <w:r>
              <w:rPr>
                <w:sz w:val="17"/>
              </w:rPr>
              <w:t>Rol de elaboración</w:t>
            </w:r>
          </w:p>
        </w:tc>
        <w:tc>
          <w:tcPr>
            <w:tcW w:w="6624" w:type="dxa"/>
          </w:tcPr>
          <w:p w14:paraId="5754BDC2" w14:textId="77777777" w:rsidR="00036950" w:rsidRDefault="00000000">
            <w:r>
              <w:rPr>
                <w:sz w:val="17"/>
              </w:rPr>
              <w:t>Gerencia de Proyecto TI</w:t>
            </w:r>
          </w:p>
        </w:tc>
      </w:tr>
      <w:tr w:rsidR="00036950" w14:paraId="05622AF6" w14:textId="77777777">
        <w:trPr>
          <w:jc w:val="center"/>
        </w:trPr>
        <w:tc>
          <w:tcPr>
            <w:tcW w:w="2880" w:type="dxa"/>
          </w:tcPr>
          <w:p w14:paraId="57222DF3" w14:textId="77777777" w:rsidR="00036950" w:rsidRDefault="00000000">
            <w:r>
              <w:rPr>
                <w:sz w:val="17"/>
              </w:rPr>
              <w:t>Equipo / Autores</w:t>
            </w:r>
          </w:p>
        </w:tc>
        <w:tc>
          <w:tcPr>
            <w:tcW w:w="6624" w:type="dxa"/>
          </w:tcPr>
          <w:p w14:paraId="5549A595" w14:textId="08FC7071" w:rsidR="00036950" w:rsidRDefault="00000000">
            <w:r>
              <w:rPr>
                <w:sz w:val="17"/>
              </w:rPr>
              <w:t>Cristian Camilo Osorio Latorre, Santiago Acosta, Andrea Menjura Arango, Luis Felipe, Juan Felipe Hernández</w:t>
            </w:r>
            <w:r w:rsidR="00A44BEC">
              <w:rPr>
                <w:sz w:val="17"/>
              </w:rPr>
              <w:t>, Edward Morales</w:t>
            </w:r>
          </w:p>
        </w:tc>
      </w:tr>
      <w:tr w:rsidR="00036950" w14:paraId="4F63B6E3" w14:textId="77777777">
        <w:trPr>
          <w:jc w:val="center"/>
        </w:trPr>
        <w:tc>
          <w:tcPr>
            <w:tcW w:w="2880" w:type="dxa"/>
          </w:tcPr>
          <w:p w14:paraId="2216CD13" w14:textId="77777777" w:rsidR="00036950" w:rsidRDefault="00000000">
            <w:r>
              <w:rPr>
                <w:sz w:val="17"/>
              </w:rPr>
              <w:t>Versión</w:t>
            </w:r>
          </w:p>
        </w:tc>
        <w:tc>
          <w:tcPr>
            <w:tcW w:w="6624" w:type="dxa"/>
          </w:tcPr>
          <w:p w14:paraId="5FC62419" w14:textId="77777777" w:rsidR="00036950" w:rsidRDefault="00000000">
            <w:r>
              <w:rPr>
                <w:sz w:val="17"/>
              </w:rPr>
              <w:t>2.0 - Entrega final consolidada y editable</w:t>
            </w:r>
          </w:p>
        </w:tc>
      </w:tr>
      <w:tr w:rsidR="00036950" w14:paraId="0F61A72E" w14:textId="77777777">
        <w:trPr>
          <w:jc w:val="center"/>
        </w:trPr>
        <w:tc>
          <w:tcPr>
            <w:tcW w:w="2880" w:type="dxa"/>
          </w:tcPr>
          <w:p w14:paraId="3F6BFA35" w14:textId="77777777" w:rsidR="00036950" w:rsidRDefault="00000000">
            <w:r>
              <w:rPr>
                <w:sz w:val="17"/>
              </w:rPr>
              <w:t>Fecha</w:t>
            </w:r>
          </w:p>
        </w:tc>
        <w:tc>
          <w:tcPr>
            <w:tcW w:w="6624" w:type="dxa"/>
          </w:tcPr>
          <w:p w14:paraId="2C6A91A1" w14:textId="77777777" w:rsidR="00036950" w:rsidRDefault="00000000">
            <w:r>
              <w:rPr>
                <w:sz w:val="17"/>
              </w:rPr>
              <w:t>Junio de 2026</w:t>
            </w:r>
          </w:p>
        </w:tc>
      </w:tr>
      <w:tr w:rsidR="00036950" w14:paraId="41727FD6" w14:textId="77777777">
        <w:trPr>
          <w:jc w:val="center"/>
        </w:trPr>
        <w:tc>
          <w:tcPr>
            <w:tcW w:w="2880" w:type="dxa"/>
          </w:tcPr>
          <w:p w14:paraId="30575373" w14:textId="77777777" w:rsidR="00036950" w:rsidRDefault="00000000">
            <w:r>
              <w:rPr>
                <w:sz w:val="17"/>
              </w:rPr>
              <w:t>Tecnologías objetivo</w:t>
            </w:r>
          </w:p>
        </w:tc>
        <w:tc>
          <w:tcPr>
            <w:tcW w:w="6624" w:type="dxa"/>
          </w:tcPr>
          <w:p w14:paraId="21291E0C" w14:textId="77777777" w:rsidR="00036950" w:rsidRDefault="00000000">
            <w:r>
              <w:rPr>
                <w:sz w:val="17"/>
              </w:rPr>
              <w:t>.NET 8, Flutter Web, SQL Server, SignalR/WebSockets, xUnit, GitHub</w:t>
            </w:r>
          </w:p>
        </w:tc>
      </w:tr>
    </w:tbl>
    <w:p w14:paraId="609F0789" w14:textId="77777777" w:rsidR="00036950" w:rsidRDefault="00036950"/>
    <w:p w14:paraId="4FF107F5" w14:textId="77777777" w:rsidR="00036950" w:rsidRDefault="00000000">
      <w:r>
        <w:br w:type="page"/>
      </w:r>
    </w:p>
    <w:p w14:paraId="6CCB1F23" w14:textId="77777777" w:rsidR="00036950" w:rsidRDefault="00000000">
      <w:pPr>
        <w:pStyle w:val="Ttulo1"/>
      </w:pPr>
      <w:r>
        <w:lastRenderedPageBreak/>
        <w:t>7. Arquitectura</w:t>
      </w:r>
    </w:p>
    <w:p w14:paraId="47767973" w14:textId="77777777" w:rsidR="00036950" w:rsidRDefault="00000000">
      <w:r>
        <w:t>La arquitectura propuesta se basa en separación de responsabilidades entre frontend, backend, base de datos, servicios de notificación y motor de recomendaciones. Esta estructura permite mantener trazabilidad entre requerimientos funcionales, componentes técnicos y criterios de calidad.</w:t>
      </w:r>
    </w:p>
    <w:p w14:paraId="271E14CF" w14:textId="77777777" w:rsidR="00036950" w:rsidRDefault="00000000">
      <w:pPr>
        <w:pStyle w:val="Ttulo2"/>
      </w:pPr>
      <w:r>
        <w:t>7.1 Diagrama de flujo As-Is</w:t>
      </w:r>
    </w:p>
    <w:p w14:paraId="48110F7B" w14:textId="77777777" w:rsidR="00036950" w:rsidRDefault="00000000">
      <w:r>
        <w:t>El flujo actual representa un usuario que administra sus finanzas de forma manual, dispersa o sin alertas automáticas. Esto genera bajo control presupuestal, dificultad de análisis y ausencia de recomendaciones sostenibles.</w:t>
      </w:r>
    </w:p>
    <w:p w14:paraId="518BCA0F" w14:textId="77777777" w:rsidR="00036950" w:rsidRDefault="00000000">
      <w:r>
        <w:rPr>
          <w:noProof/>
        </w:rPr>
        <w:drawing>
          <wp:inline distT="0" distB="0" distL="0" distR="0" wp14:anchorId="3D89D2D2" wp14:editId="6B69A8F0">
            <wp:extent cx="5760720" cy="33418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eymind_as_i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37C42" w14:textId="77777777" w:rsidR="00036950" w:rsidRDefault="00000000">
      <w:pPr>
        <w:jc w:val="center"/>
      </w:pPr>
      <w:r>
        <w:rPr>
          <w:i/>
          <w:color w:val="595959"/>
          <w:sz w:val="18"/>
        </w:rPr>
        <w:t>Figura 2. Flujo As-Is del proceso actual.</w:t>
      </w:r>
    </w:p>
    <w:p w14:paraId="1E52F5E0" w14:textId="77777777" w:rsidR="00036950" w:rsidRDefault="00000000">
      <w:pPr>
        <w:pStyle w:val="Ttulo2"/>
      </w:pPr>
      <w:r>
        <w:t>7.2 Diagrama de flujo To-Be</w:t>
      </w:r>
    </w:p>
    <w:p w14:paraId="6FAF5CA0" w14:textId="77777777" w:rsidR="00036950" w:rsidRDefault="00000000">
      <w:r>
        <w:t>El flujo futuro incorpora MoneyMind como plataforma centralizada. El usuario registra información financiera, el sistema valida presupuestos, genera alertas y produce recomendaciones ecológicas y reportes visuales.</w:t>
      </w:r>
    </w:p>
    <w:p w14:paraId="3581668E" w14:textId="77777777" w:rsidR="00036950" w:rsidRDefault="00000000">
      <w:r>
        <w:rPr>
          <w:noProof/>
        </w:rPr>
        <w:lastRenderedPageBreak/>
        <w:drawing>
          <wp:inline distT="0" distB="0" distL="0" distR="0" wp14:anchorId="4F82F98B" wp14:editId="6EAC3B29">
            <wp:extent cx="5760720" cy="33418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eymind_to_b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15F3" w14:textId="77777777" w:rsidR="00036950" w:rsidRDefault="00000000">
      <w:pPr>
        <w:jc w:val="center"/>
      </w:pPr>
      <w:r>
        <w:rPr>
          <w:i/>
          <w:color w:val="595959"/>
          <w:sz w:val="18"/>
        </w:rPr>
        <w:t>Figura 3. Flujo To-Be con MoneyMind.</w:t>
      </w:r>
    </w:p>
    <w:p w14:paraId="287EE63E" w14:textId="77777777" w:rsidR="00036950" w:rsidRDefault="00000000">
      <w:pPr>
        <w:pStyle w:val="Ttulo2"/>
      </w:pPr>
      <w:r>
        <w:t>7.3 C4 - Contexto C1</w:t>
      </w:r>
    </w:p>
    <w:p w14:paraId="27539FA2" w14:textId="77777777" w:rsidR="00036950" w:rsidRDefault="00000000">
      <w:r>
        <w:t>El diagrama C1 ubica MoneyMind dentro de su entorno: usuarios finales, administrador, servicios de notificación, repositorio documental y entorno de despliegue.</w:t>
      </w:r>
    </w:p>
    <w:p w14:paraId="4E1FCBCA" w14:textId="77777777" w:rsidR="00036950" w:rsidRDefault="00000000">
      <w:r>
        <w:rPr>
          <w:noProof/>
        </w:rPr>
        <w:drawing>
          <wp:inline distT="0" distB="0" distL="0" distR="0" wp14:anchorId="606682C9" wp14:editId="57B452A1">
            <wp:extent cx="5760720" cy="33418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eymind_c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9D83B" w14:textId="77777777" w:rsidR="00036950" w:rsidRDefault="00000000">
      <w:pPr>
        <w:jc w:val="center"/>
      </w:pPr>
      <w:r>
        <w:rPr>
          <w:i/>
          <w:color w:val="595959"/>
          <w:sz w:val="18"/>
        </w:rPr>
        <w:t>Figura 4. Diagrama de contexto C1.</w:t>
      </w:r>
    </w:p>
    <w:p w14:paraId="24490CBA" w14:textId="77777777" w:rsidR="00036950" w:rsidRDefault="00000000">
      <w:pPr>
        <w:pStyle w:val="Ttulo2"/>
      </w:pPr>
      <w:r>
        <w:t>7.4 C4 - Contenedores C2</w:t>
      </w:r>
    </w:p>
    <w:p w14:paraId="217A0560" w14:textId="77777777" w:rsidR="00036950" w:rsidRDefault="00000000">
      <w:r>
        <w:t>El diagrama C2 describe los contenedores principales: cliente Flutter Web, API .NET 8, base de datos SQL Server, servicio de notificaciones SignalR y módulo de recomendaciones ecológicas.</w:t>
      </w:r>
    </w:p>
    <w:p w14:paraId="612D0A7E" w14:textId="77777777" w:rsidR="00036950" w:rsidRDefault="00000000">
      <w:r>
        <w:rPr>
          <w:noProof/>
        </w:rPr>
        <w:lastRenderedPageBreak/>
        <w:drawing>
          <wp:inline distT="0" distB="0" distL="0" distR="0" wp14:anchorId="3BD2BCC3" wp14:editId="1EA04940">
            <wp:extent cx="5760720" cy="33418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eymind_c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85CB7" w14:textId="77777777" w:rsidR="00036950" w:rsidRDefault="00000000">
      <w:pPr>
        <w:jc w:val="center"/>
      </w:pPr>
      <w:r>
        <w:rPr>
          <w:i/>
          <w:color w:val="595959"/>
          <w:sz w:val="18"/>
        </w:rPr>
        <w:t>Figura 5. Diagrama de contenedores C2.</w:t>
      </w:r>
    </w:p>
    <w:p w14:paraId="2E09A343" w14:textId="77777777" w:rsidR="00036950" w:rsidRDefault="00000000">
      <w:pPr>
        <w:pStyle w:val="Ttulo2"/>
      </w:pPr>
      <w:r>
        <w:t>7.5 C4 - Componentes C3</w:t>
      </w:r>
    </w:p>
    <w:p w14:paraId="42C8FF75" w14:textId="77777777" w:rsidR="00036950" w:rsidRDefault="00000000">
      <w:r>
        <w:t>El diagrama C3 detalla los componentes internos principales del backend: controladores, servicios de dominio, repositorios, validadores, hub de notificaciones y motor de reglas ecológicas.</w:t>
      </w:r>
    </w:p>
    <w:p w14:paraId="33FCF53C" w14:textId="77777777" w:rsidR="00036950" w:rsidRDefault="00000000">
      <w:r>
        <w:rPr>
          <w:noProof/>
        </w:rPr>
        <w:drawing>
          <wp:inline distT="0" distB="0" distL="0" distR="0" wp14:anchorId="0626EFE0" wp14:editId="1ECD0CC4">
            <wp:extent cx="5760720" cy="33418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eymind_c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8CE73" w14:textId="77777777" w:rsidR="00036950" w:rsidRDefault="00000000">
      <w:pPr>
        <w:jc w:val="center"/>
      </w:pPr>
      <w:r>
        <w:rPr>
          <w:i/>
          <w:color w:val="595959"/>
          <w:sz w:val="18"/>
        </w:rPr>
        <w:t>Figura 6. Diagrama de componentes C3.</w:t>
      </w:r>
    </w:p>
    <w:p w14:paraId="0BF4C87A" w14:textId="77777777" w:rsidR="00036950" w:rsidRDefault="00000000">
      <w:pPr>
        <w:pStyle w:val="Ttulo2"/>
      </w:pPr>
      <w:r>
        <w:t>7.6 Decisiones de diseño - ADR</w:t>
      </w:r>
    </w:p>
    <w:tbl>
      <w:tblPr>
        <w:tblStyle w:val="Tablaconcuadrcula"/>
        <w:tblW w:w="0" w:type="auto"/>
        <w:jc w:val="center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6" w:space="0" w:color="8EA9DB"/>
          <w:insideV w:val="single" w:sz="6" w:space="0" w:color="8EA9DB"/>
        </w:tblBorders>
        <w:tblLook w:val="04A0" w:firstRow="1" w:lastRow="0" w:firstColumn="1" w:lastColumn="0" w:noHBand="0" w:noVBand="1"/>
      </w:tblPr>
      <w:tblGrid>
        <w:gridCol w:w="1152"/>
        <w:gridCol w:w="2880"/>
        <w:gridCol w:w="1152"/>
        <w:gridCol w:w="5040"/>
      </w:tblGrid>
      <w:tr w:rsidR="00036950" w14:paraId="6C2D8B4E" w14:textId="77777777">
        <w:trPr>
          <w:jc w:val="center"/>
        </w:trPr>
        <w:tc>
          <w:tcPr>
            <w:tcW w:w="1152" w:type="dxa"/>
            <w:shd w:val="clear" w:color="auto" w:fill="D9EAF7"/>
            <w:vAlign w:val="center"/>
          </w:tcPr>
          <w:p w14:paraId="48BBBAB9" w14:textId="77777777" w:rsidR="00036950" w:rsidRDefault="00000000">
            <w:r>
              <w:rPr>
                <w:b/>
                <w:color w:val="1F4E79"/>
                <w:sz w:val="17"/>
              </w:rPr>
              <w:t>ID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4F73335" w14:textId="77777777" w:rsidR="00036950" w:rsidRDefault="00000000">
            <w:r>
              <w:rPr>
                <w:b/>
                <w:color w:val="1F4E79"/>
                <w:sz w:val="17"/>
              </w:rPr>
              <w:t>Decisión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7A745696" w14:textId="77777777" w:rsidR="00036950" w:rsidRDefault="00000000">
            <w:r>
              <w:rPr>
                <w:b/>
                <w:color w:val="1F4E79"/>
                <w:sz w:val="17"/>
              </w:rPr>
              <w:t>Estado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5C2AACA1" w14:textId="77777777" w:rsidR="00036950" w:rsidRDefault="00000000">
            <w:r>
              <w:rPr>
                <w:b/>
                <w:color w:val="1F4E79"/>
                <w:sz w:val="17"/>
              </w:rPr>
              <w:t>Justificación</w:t>
            </w:r>
          </w:p>
        </w:tc>
      </w:tr>
      <w:tr w:rsidR="00036950" w14:paraId="5DE1FEFA" w14:textId="77777777">
        <w:trPr>
          <w:jc w:val="center"/>
        </w:trPr>
        <w:tc>
          <w:tcPr>
            <w:tcW w:w="1152" w:type="dxa"/>
          </w:tcPr>
          <w:p w14:paraId="2A4621FA" w14:textId="77777777" w:rsidR="00036950" w:rsidRDefault="00000000">
            <w:r>
              <w:rPr>
                <w:sz w:val="17"/>
              </w:rPr>
              <w:t>ADR-01</w:t>
            </w:r>
          </w:p>
        </w:tc>
        <w:tc>
          <w:tcPr>
            <w:tcW w:w="2880" w:type="dxa"/>
          </w:tcPr>
          <w:p w14:paraId="5F924A5C" w14:textId="77777777" w:rsidR="00036950" w:rsidRDefault="00000000">
            <w:r>
              <w:rPr>
                <w:sz w:val="17"/>
              </w:rPr>
              <w:t>Uso de .NET 8 para backend API REST</w:t>
            </w:r>
          </w:p>
        </w:tc>
        <w:tc>
          <w:tcPr>
            <w:tcW w:w="1152" w:type="dxa"/>
          </w:tcPr>
          <w:p w14:paraId="0A3BA3C3" w14:textId="77777777" w:rsidR="00036950" w:rsidRDefault="00000000">
            <w:r>
              <w:rPr>
                <w:sz w:val="17"/>
              </w:rPr>
              <w:t>Aceptada</w:t>
            </w:r>
          </w:p>
        </w:tc>
        <w:tc>
          <w:tcPr>
            <w:tcW w:w="5040" w:type="dxa"/>
          </w:tcPr>
          <w:p w14:paraId="2D061861" w14:textId="77777777" w:rsidR="00036950" w:rsidRDefault="00000000">
            <w:r>
              <w:rPr>
                <w:sz w:val="17"/>
              </w:rPr>
              <w:t xml:space="preserve">Se selecciona por rendimiento, ecosistema empresarial, seguridad, compatibilidad con xUnit y facilidad para integrar </w:t>
            </w:r>
            <w:r>
              <w:rPr>
                <w:sz w:val="17"/>
              </w:rPr>
              <w:lastRenderedPageBreak/>
              <w:t>SignalR.</w:t>
            </w:r>
          </w:p>
        </w:tc>
      </w:tr>
      <w:tr w:rsidR="00036950" w14:paraId="415DB49B" w14:textId="77777777">
        <w:trPr>
          <w:jc w:val="center"/>
        </w:trPr>
        <w:tc>
          <w:tcPr>
            <w:tcW w:w="1152" w:type="dxa"/>
          </w:tcPr>
          <w:p w14:paraId="41FFB06F" w14:textId="77777777" w:rsidR="00036950" w:rsidRDefault="00000000">
            <w:r>
              <w:rPr>
                <w:sz w:val="17"/>
              </w:rPr>
              <w:lastRenderedPageBreak/>
              <w:t>ADR-02</w:t>
            </w:r>
          </w:p>
        </w:tc>
        <w:tc>
          <w:tcPr>
            <w:tcW w:w="2880" w:type="dxa"/>
          </w:tcPr>
          <w:p w14:paraId="09207695" w14:textId="77777777" w:rsidR="00036950" w:rsidRDefault="00000000">
            <w:r>
              <w:rPr>
                <w:sz w:val="17"/>
              </w:rPr>
              <w:t>Uso de Flutter Web para frontend</w:t>
            </w:r>
          </w:p>
        </w:tc>
        <w:tc>
          <w:tcPr>
            <w:tcW w:w="1152" w:type="dxa"/>
          </w:tcPr>
          <w:p w14:paraId="3D71E6F4" w14:textId="77777777" w:rsidR="00036950" w:rsidRDefault="00000000">
            <w:r>
              <w:rPr>
                <w:sz w:val="17"/>
              </w:rPr>
              <w:t>Aceptada</w:t>
            </w:r>
          </w:p>
        </w:tc>
        <w:tc>
          <w:tcPr>
            <w:tcW w:w="5040" w:type="dxa"/>
          </w:tcPr>
          <w:p w14:paraId="55B5FAA7" w14:textId="77777777" w:rsidR="00036950" w:rsidRDefault="00000000">
            <w:r>
              <w:rPr>
                <w:sz w:val="17"/>
              </w:rPr>
              <w:t>Permite interfaz responsive, reutilización futura para móvil y experiencia visual uniforme.</w:t>
            </w:r>
          </w:p>
        </w:tc>
      </w:tr>
      <w:tr w:rsidR="00036950" w14:paraId="71BD00BC" w14:textId="77777777">
        <w:trPr>
          <w:jc w:val="center"/>
        </w:trPr>
        <w:tc>
          <w:tcPr>
            <w:tcW w:w="1152" w:type="dxa"/>
          </w:tcPr>
          <w:p w14:paraId="42E67347" w14:textId="77777777" w:rsidR="00036950" w:rsidRDefault="00000000">
            <w:r>
              <w:rPr>
                <w:sz w:val="17"/>
              </w:rPr>
              <w:t>ADR-03</w:t>
            </w:r>
          </w:p>
        </w:tc>
        <w:tc>
          <w:tcPr>
            <w:tcW w:w="2880" w:type="dxa"/>
          </w:tcPr>
          <w:p w14:paraId="1DE143E3" w14:textId="77777777" w:rsidR="00036950" w:rsidRDefault="00000000">
            <w:r>
              <w:rPr>
                <w:sz w:val="17"/>
              </w:rPr>
              <w:t>Uso de SQL Server como base relacional</w:t>
            </w:r>
          </w:p>
        </w:tc>
        <w:tc>
          <w:tcPr>
            <w:tcW w:w="1152" w:type="dxa"/>
          </w:tcPr>
          <w:p w14:paraId="65F60DD1" w14:textId="77777777" w:rsidR="00036950" w:rsidRDefault="00000000">
            <w:r>
              <w:rPr>
                <w:sz w:val="17"/>
              </w:rPr>
              <w:t>Aceptada</w:t>
            </w:r>
          </w:p>
        </w:tc>
        <w:tc>
          <w:tcPr>
            <w:tcW w:w="5040" w:type="dxa"/>
          </w:tcPr>
          <w:p w14:paraId="2B7CE72A" w14:textId="77777777" w:rsidR="00036950" w:rsidRDefault="00000000">
            <w:r>
              <w:rPr>
                <w:sz w:val="17"/>
              </w:rPr>
              <w:t>Adecuado para datos estructurados financieros, integridad referencial, índices y consultas reportables.</w:t>
            </w:r>
          </w:p>
        </w:tc>
      </w:tr>
      <w:tr w:rsidR="00036950" w14:paraId="42E35E6C" w14:textId="77777777">
        <w:trPr>
          <w:jc w:val="center"/>
        </w:trPr>
        <w:tc>
          <w:tcPr>
            <w:tcW w:w="1152" w:type="dxa"/>
          </w:tcPr>
          <w:p w14:paraId="7AD21B43" w14:textId="77777777" w:rsidR="00036950" w:rsidRDefault="00000000">
            <w:r>
              <w:rPr>
                <w:sz w:val="17"/>
              </w:rPr>
              <w:t>ADR-04</w:t>
            </w:r>
          </w:p>
        </w:tc>
        <w:tc>
          <w:tcPr>
            <w:tcW w:w="2880" w:type="dxa"/>
          </w:tcPr>
          <w:p w14:paraId="696CD9FD" w14:textId="77777777" w:rsidR="00036950" w:rsidRDefault="00000000">
            <w:r>
              <w:rPr>
                <w:sz w:val="17"/>
              </w:rPr>
              <w:t>SignalR/WebSockets para alertas en tiempo real</w:t>
            </w:r>
          </w:p>
        </w:tc>
        <w:tc>
          <w:tcPr>
            <w:tcW w:w="1152" w:type="dxa"/>
          </w:tcPr>
          <w:p w14:paraId="0FF3BA78" w14:textId="77777777" w:rsidR="00036950" w:rsidRDefault="00000000">
            <w:r>
              <w:rPr>
                <w:sz w:val="17"/>
              </w:rPr>
              <w:t>Aceptada</w:t>
            </w:r>
          </w:p>
        </w:tc>
        <w:tc>
          <w:tcPr>
            <w:tcW w:w="5040" w:type="dxa"/>
          </w:tcPr>
          <w:p w14:paraId="1445553A" w14:textId="77777777" w:rsidR="00036950" w:rsidRDefault="00000000">
            <w:r>
              <w:rPr>
                <w:sz w:val="17"/>
              </w:rPr>
              <w:t>Reduce latencia en alertas de presupuesto y mejora la experiencia del usuario.</w:t>
            </w:r>
          </w:p>
        </w:tc>
      </w:tr>
      <w:tr w:rsidR="00036950" w14:paraId="669CEC8D" w14:textId="77777777">
        <w:trPr>
          <w:jc w:val="center"/>
        </w:trPr>
        <w:tc>
          <w:tcPr>
            <w:tcW w:w="1152" w:type="dxa"/>
          </w:tcPr>
          <w:p w14:paraId="27AA3299" w14:textId="77777777" w:rsidR="00036950" w:rsidRDefault="00000000">
            <w:r>
              <w:rPr>
                <w:sz w:val="17"/>
              </w:rPr>
              <w:t>ADR-05</w:t>
            </w:r>
          </w:p>
        </w:tc>
        <w:tc>
          <w:tcPr>
            <w:tcW w:w="2880" w:type="dxa"/>
          </w:tcPr>
          <w:p w14:paraId="4763D77F" w14:textId="77777777" w:rsidR="00036950" w:rsidRDefault="00000000">
            <w:r>
              <w:rPr>
                <w:sz w:val="17"/>
              </w:rPr>
              <w:t>Arquitectura modular con separación por capas</w:t>
            </w:r>
          </w:p>
        </w:tc>
        <w:tc>
          <w:tcPr>
            <w:tcW w:w="1152" w:type="dxa"/>
          </w:tcPr>
          <w:p w14:paraId="5C4EFAA7" w14:textId="77777777" w:rsidR="00036950" w:rsidRDefault="00000000">
            <w:r>
              <w:rPr>
                <w:sz w:val="17"/>
              </w:rPr>
              <w:t>Aceptada</w:t>
            </w:r>
          </w:p>
        </w:tc>
        <w:tc>
          <w:tcPr>
            <w:tcW w:w="5040" w:type="dxa"/>
          </w:tcPr>
          <w:p w14:paraId="5CF2B880" w14:textId="77777777" w:rsidR="00036950" w:rsidRDefault="00000000">
            <w:r>
              <w:rPr>
                <w:sz w:val="17"/>
              </w:rPr>
              <w:t>Facilita mantenimiento, pruebas, escalabilidad y posible migración futura a microservicios.</w:t>
            </w:r>
          </w:p>
        </w:tc>
      </w:tr>
      <w:tr w:rsidR="00036950" w14:paraId="3C962373" w14:textId="77777777">
        <w:trPr>
          <w:jc w:val="center"/>
        </w:trPr>
        <w:tc>
          <w:tcPr>
            <w:tcW w:w="1152" w:type="dxa"/>
          </w:tcPr>
          <w:p w14:paraId="2D2BC633" w14:textId="77777777" w:rsidR="00036950" w:rsidRDefault="00000000">
            <w:r>
              <w:rPr>
                <w:sz w:val="17"/>
              </w:rPr>
              <w:t>ADR-06</w:t>
            </w:r>
          </w:p>
        </w:tc>
        <w:tc>
          <w:tcPr>
            <w:tcW w:w="2880" w:type="dxa"/>
          </w:tcPr>
          <w:p w14:paraId="035F585D" w14:textId="77777777" w:rsidR="00036950" w:rsidRDefault="00000000">
            <w:r>
              <w:rPr>
                <w:sz w:val="17"/>
              </w:rPr>
              <w:t>No integrar bancos reales en esta fase</w:t>
            </w:r>
          </w:p>
        </w:tc>
        <w:tc>
          <w:tcPr>
            <w:tcW w:w="1152" w:type="dxa"/>
          </w:tcPr>
          <w:p w14:paraId="7BCDA659" w14:textId="77777777" w:rsidR="00036950" w:rsidRDefault="00000000">
            <w:r>
              <w:rPr>
                <w:sz w:val="17"/>
              </w:rPr>
              <w:t>Aceptada</w:t>
            </w:r>
          </w:p>
        </w:tc>
        <w:tc>
          <w:tcPr>
            <w:tcW w:w="5040" w:type="dxa"/>
          </w:tcPr>
          <w:p w14:paraId="1B7397E0" w14:textId="77777777" w:rsidR="00036950" w:rsidRDefault="00000000">
            <w:r>
              <w:rPr>
                <w:sz w:val="17"/>
              </w:rPr>
              <w:t>Reduce riesgos legales, técnicos y de seguridad. El alcance se concentra en gestión manual y educativa.</w:t>
            </w:r>
          </w:p>
        </w:tc>
      </w:tr>
    </w:tbl>
    <w:p w14:paraId="66DAB9A8" w14:textId="77777777" w:rsidR="00036950" w:rsidRDefault="00036950"/>
    <w:p w14:paraId="70115BCA" w14:textId="77777777" w:rsidR="00036950" w:rsidRDefault="00000000">
      <w:pPr>
        <w:pStyle w:val="Ttulo2"/>
      </w:pPr>
      <w:r>
        <w:t>7.7 Plan de escalabilidad técnica</w:t>
      </w:r>
    </w:p>
    <w:p w14:paraId="64FB3497" w14:textId="77777777" w:rsidR="00036950" w:rsidRDefault="00000000">
      <w:pPr>
        <w:pStyle w:val="Listaconvietas"/>
      </w:pPr>
      <w:r>
        <w:t>Mantener arquitectura modular basada en separación por capas.</w:t>
      </w:r>
    </w:p>
    <w:p w14:paraId="141D6764" w14:textId="77777777" w:rsidR="00036950" w:rsidRDefault="00000000">
      <w:pPr>
        <w:pStyle w:val="Listaconvietas"/>
      </w:pPr>
      <w:r>
        <w:t>Optimizar consultas SQL Server mediante índices y paginación.</w:t>
      </w:r>
    </w:p>
    <w:p w14:paraId="47141556" w14:textId="77777777" w:rsidR="00036950" w:rsidRDefault="00000000">
      <w:pPr>
        <w:pStyle w:val="Listaconvietas"/>
      </w:pPr>
      <w:r>
        <w:t>Preparar despliegue con contenedores Docker para ambientes controlados.</w:t>
      </w:r>
    </w:p>
    <w:p w14:paraId="68834BF2" w14:textId="77777777" w:rsidR="00036950" w:rsidRDefault="00000000">
      <w:pPr>
        <w:pStyle w:val="Listaconvietas"/>
      </w:pPr>
      <w:r>
        <w:t>Monitorear desempeño con herramientas como Prometheus, Grafana o servicios cloud equivalentes.</w:t>
      </w:r>
    </w:p>
    <w:p w14:paraId="10057C9A" w14:textId="77777777" w:rsidR="00036950" w:rsidRDefault="00000000">
      <w:pPr>
        <w:pStyle w:val="Listaconvietas"/>
      </w:pPr>
      <w:r>
        <w:t>Evaluar migración futura a microservicios cuando la carga o el dominio funcional lo justifique.</w:t>
      </w:r>
    </w:p>
    <w:sectPr w:rsidR="00036950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7623580">
    <w:abstractNumId w:val="8"/>
  </w:num>
  <w:num w:numId="2" w16cid:durableId="1293096268">
    <w:abstractNumId w:val="6"/>
  </w:num>
  <w:num w:numId="3" w16cid:durableId="532694274">
    <w:abstractNumId w:val="5"/>
  </w:num>
  <w:num w:numId="4" w16cid:durableId="533005888">
    <w:abstractNumId w:val="4"/>
  </w:num>
  <w:num w:numId="5" w16cid:durableId="2040472759">
    <w:abstractNumId w:val="7"/>
  </w:num>
  <w:num w:numId="6" w16cid:durableId="1816874845">
    <w:abstractNumId w:val="3"/>
  </w:num>
  <w:num w:numId="7" w16cid:durableId="666519077">
    <w:abstractNumId w:val="2"/>
  </w:num>
  <w:num w:numId="8" w16cid:durableId="719325077">
    <w:abstractNumId w:val="1"/>
  </w:num>
  <w:num w:numId="9" w16cid:durableId="92747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950"/>
    <w:rsid w:val="0006063C"/>
    <w:rsid w:val="0015074B"/>
    <w:rsid w:val="0029639D"/>
    <w:rsid w:val="00326F90"/>
    <w:rsid w:val="00A44BEC"/>
    <w:rsid w:val="00AA1D8D"/>
    <w:rsid w:val="00B47730"/>
    <w:rsid w:val="00CB0664"/>
    <w:rsid w:val="00E80D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A0FB10"/>
  <w14:defaultImageDpi w14:val="300"/>
  <w15:docId w15:val="{168DF219-A768-4052-B004-6162F1296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75B5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564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03_Arquitectura_MoneyMind</dc:title>
  <dc:subject/>
  <dc:creator>Equipo MoneyMind</dc:creator>
  <cp:keywords/>
  <dc:description>generated by python-docx</dc:description>
  <cp:lastModifiedBy>Cristian Camilo Osorio Latorre</cp:lastModifiedBy>
  <cp:revision>2</cp:revision>
  <dcterms:created xsi:type="dcterms:W3CDTF">2013-12-23T23:15:00Z</dcterms:created>
  <dcterms:modified xsi:type="dcterms:W3CDTF">2026-06-02T21:34:00Z</dcterms:modified>
  <cp:category/>
</cp:coreProperties>
</file>