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D9E" w:rsidRPr="00AF6D9E" w:rsidRDefault="00AF6D9E">
      <w:pPr>
        <w:pBdr>
          <w:top w:val="nil"/>
          <w:left w:val="nil"/>
          <w:bottom w:val="nil"/>
          <w:right w:val="nil"/>
          <w:between w:val="nil"/>
        </w:pBdr>
        <w:spacing w:after="0" w:line="240" w:lineRule="auto"/>
        <w:rPr>
          <w:rFonts w:ascii="Arial" w:eastAsia="Arial" w:hAnsi="Arial" w:cs="Arial"/>
          <w:b/>
          <w:color w:val="000000"/>
          <w:sz w:val="32"/>
          <w:szCs w:val="32"/>
        </w:rPr>
      </w:pPr>
    </w:p>
    <w:p w:rsidR="008318DE" w:rsidRPr="00AF6D9E" w:rsidRDefault="008318DE" w:rsidP="008318DE">
      <w:pPr>
        <w:pBdr>
          <w:top w:val="nil"/>
          <w:left w:val="nil"/>
          <w:bottom w:val="nil"/>
          <w:right w:val="nil"/>
          <w:between w:val="nil"/>
        </w:pBdr>
        <w:spacing w:after="0" w:line="240" w:lineRule="auto"/>
        <w:ind w:left="360"/>
        <w:rPr>
          <w:rFonts w:ascii="Arial" w:hAnsi="Arial" w:cs="Arial"/>
          <w:b/>
          <w:color w:val="000000"/>
          <w:sz w:val="24"/>
          <w:szCs w:val="24"/>
        </w:rPr>
      </w:pPr>
    </w:p>
    <w:p w:rsidR="008D4ADD" w:rsidRPr="00DB48DE" w:rsidRDefault="00CA5CCC" w:rsidP="009A3385">
      <w:pPr>
        <w:pBdr>
          <w:top w:val="nil"/>
          <w:left w:val="nil"/>
          <w:bottom w:val="nil"/>
          <w:right w:val="nil"/>
          <w:between w:val="nil"/>
        </w:pBdr>
        <w:spacing w:after="0" w:line="240" w:lineRule="auto"/>
        <w:ind w:left="360"/>
        <w:jc w:val="center"/>
        <w:rPr>
          <w:rFonts w:ascii="Arial" w:hAnsi="Arial" w:cs="Arial"/>
          <w:b/>
          <w:color w:val="000000"/>
        </w:rPr>
      </w:pPr>
      <w:r w:rsidRPr="00DB48DE">
        <w:rPr>
          <w:rFonts w:ascii="Arial" w:hAnsi="Arial" w:cs="Arial"/>
          <w:b/>
          <w:color w:val="000000"/>
        </w:rPr>
        <w:t>Evaluación comparativa de la estabilidad mecánica en alineadores de PET-G y PU-Copolímero, en procesos post termoformado y sometimiento a condiciones intraorales</w:t>
      </w:r>
    </w:p>
    <w:p w:rsidR="008D4ADD" w:rsidRPr="00DB48DE" w:rsidRDefault="008D4ADD" w:rsidP="009A3385">
      <w:pPr>
        <w:pBdr>
          <w:top w:val="nil"/>
          <w:left w:val="nil"/>
          <w:bottom w:val="nil"/>
          <w:right w:val="nil"/>
          <w:between w:val="nil"/>
        </w:pBdr>
        <w:spacing w:after="0" w:line="240" w:lineRule="auto"/>
        <w:rPr>
          <w:rFonts w:ascii="Arial" w:hAnsi="Arial" w:cs="Arial"/>
          <w:b/>
          <w:color w:val="000000"/>
        </w:rPr>
      </w:pPr>
    </w:p>
    <w:p w:rsidR="00B7393A" w:rsidRPr="00DB48DE" w:rsidRDefault="00B7393A" w:rsidP="00B7393A">
      <w:pPr>
        <w:pBdr>
          <w:top w:val="nil"/>
          <w:left w:val="nil"/>
          <w:bottom w:val="nil"/>
          <w:right w:val="nil"/>
          <w:between w:val="nil"/>
        </w:pBdr>
        <w:spacing w:after="0" w:line="240" w:lineRule="auto"/>
        <w:ind w:left="360"/>
        <w:rPr>
          <w:rFonts w:ascii="Arial" w:hAnsi="Arial" w:cs="Arial"/>
          <w:b/>
          <w:color w:val="000000"/>
        </w:rPr>
      </w:pPr>
    </w:p>
    <w:p w:rsidR="008D4ADD"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Camilo Osorio Cifuentes 2220623</w:t>
      </w:r>
    </w:p>
    <w:p w:rsidR="00CA5CCC"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Nelson Steven Santos Gonzales 2176172</w:t>
      </w:r>
    </w:p>
    <w:p w:rsidR="00BF0B02" w:rsidRPr="00DB48DE" w:rsidRDefault="00BF0B02" w:rsidP="009A3385">
      <w:pPr>
        <w:pBdr>
          <w:top w:val="nil"/>
          <w:left w:val="nil"/>
          <w:bottom w:val="nil"/>
          <w:right w:val="nil"/>
          <w:between w:val="nil"/>
        </w:pBdr>
        <w:spacing w:after="0" w:line="240" w:lineRule="auto"/>
        <w:rPr>
          <w:rFonts w:ascii="Arial" w:hAnsi="Arial" w:cs="Arial"/>
          <w:color w:val="000000"/>
        </w:rPr>
      </w:pPr>
    </w:p>
    <w:p w:rsidR="008D4ADD"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Oscar Ivan Campo Salazar </w:t>
      </w:r>
      <w:r w:rsidR="00BF0B02" w:rsidRPr="00DB48DE">
        <w:rPr>
          <w:rFonts w:ascii="Arial" w:hAnsi="Arial" w:cs="Arial"/>
          <w:color w:val="000000"/>
        </w:rPr>
        <w:t>(Director académico)</w:t>
      </w:r>
    </w:p>
    <w:p w:rsidR="008D4ADD" w:rsidRPr="00DB48DE" w:rsidRDefault="00CA5CCC" w:rsidP="00DB48DE">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Cristian Orlando Diaz Laverde </w:t>
      </w:r>
      <w:r w:rsidR="00DB48DE" w:rsidRPr="00DB48DE">
        <w:rPr>
          <w:rFonts w:ascii="Arial" w:hAnsi="Arial" w:cs="Arial"/>
          <w:color w:val="000000"/>
        </w:rPr>
        <w:t>(Asesor empresarial)</w:t>
      </w:r>
    </w:p>
    <w:p w:rsidR="00B7393A" w:rsidRPr="00DB48DE" w:rsidRDefault="00B7393A" w:rsidP="009A3385">
      <w:pPr>
        <w:pBdr>
          <w:top w:val="nil"/>
          <w:left w:val="nil"/>
          <w:bottom w:val="nil"/>
          <w:right w:val="nil"/>
          <w:between w:val="nil"/>
        </w:pBdr>
        <w:spacing w:after="0" w:line="240" w:lineRule="auto"/>
        <w:jc w:val="both"/>
        <w:rPr>
          <w:rFonts w:ascii="Arial" w:hAnsi="Arial" w:cs="Arial"/>
          <w:i/>
          <w:color w:val="000000"/>
        </w:rPr>
      </w:pPr>
    </w:p>
    <w:p w:rsidR="00B7393A" w:rsidRPr="00DB48DE" w:rsidRDefault="00B7393A" w:rsidP="00B7393A">
      <w:pPr>
        <w:pBdr>
          <w:top w:val="nil"/>
          <w:left w:val="nil"/>
          <w:bottom w:val="nil"/>
          <w:right w:val="nil"/>
          <w:between w:val="nil"/>
        </w:pBdr>
        <w:spacing w:after="0" w:line="240" w:lineRule="auto"/>
        <w:ind w:left="360"/>
        <w:jc w:val="both"/>
        <w:rPr>
          <w:rFonts w:ascii="Arial" w:hAnsi="Arial" w:cs="Arial"/>
          <w:i/>
          <w:color w:val="000000"/>
        </w:rPr>
      </w:pPr>
    </w:p>
    <w:p w:rsidR="008D4ADD" w:rsidRPr="00DB48DE" w:rsidRDefault="00183791" w:rsidP="00BF0B02">
      <w:pPr>
        <w:pBdr>
          <w:top w:val="nil"/>
          <w:left w:val="nil"/>
          <w:bottom w:val="nil"/>
          <w:right w:val="nil"/>
          <w:between w:val="nil"/>
        </w:pBdr>
        <w:spacing w:after="0" w:line="240" w:lineRule="auto"/>
        <w:ind w:left="360"/>
        <w:jc w:val="right"/>
        <w:rPr>
          <w:rFonts w:ascii="Arial" w:hAnsi="Arial" w:cs="Arial"/>
          <w:i/>
          <w:color w:val="000000"/>
        </w:rPr>
      </w:pPr>
      <w:r w:rsidRPr="00DB48DE">
        <w:rPr>
          <w:rFonts w:ascii="Arial" w:hAnsi="Arial" w:cs="Arial"/>
          <w:i/>
          <w:color w:val="000000"/>
        </w:rPr>
        <w:t>Proyecto de Grado</w:t>
      </w:r>
    </w:p>
    <w:p w:rsidR="00B7393A" w:rsidRPr="00DB48DE" w:rsidRDefault="00B7393A">
      <w:pPr>
        <w:pBdr>
          <w:top w:val="nil"/>
          <w:left w:val="nil"/>
          <w:bottom w:val="nil"/>
          <w:right w:val="nil"/>
          <w:between w:val="nil"/>
        </w:pBdr>
        <w:spacing w:after="0" w:line="240" w:lineRule="auto"/>
        <w:rPr>
          <w:rFonts w:ascii="Arial" w:hAnsi="Arial" w:cs="Arial"/>
          <w:b/>
          <w:color w:val="000000"/>
        </w:rPr>
      </w:pPr>
    </w:p>
    <w:p w:rsidR="00B7393A" w:rsidRPr="00DB48DE" w:rsidRDefault="00B7393A">
      <w:pPr>
        <w:pBdr>
          <w:top w:val="nil"/>
          <w:left w:val="nil"/>
          <w:bottom w:val="nil"/>
          <w:right w:val="nil"/>
          <w:between w:val="nil"/>
        </w:pBdr>
        <w:spacing w:after="0" w:line="240" w:lineRule="auto"/>
        <w:rPr>
          <w:rFonts w:ascii="Arial" w:hAnsi="Arial" w:cs="Arial"/>
          <w:b/>
          <w:color w:val="000000"/>
        </w:rPr>
      </w:pPr>
    </w:p>
    <w:p w:rsidR="008D4ADD" w:rsidRPr="00DB48DE" w:rsidRDefault="00183791" w:rsidP="009A3385">
      <w:pPr>
        <w:pBdr>
          <w:top w:val="nil"/>
          <w:left w:val="nil"/>
          <w:bottom w:val="nil"/>
          <w:right w:val="nil"/>
          <w:between w:val="nil"/>
        </w:pBdr>
        <w:spacing w:after="0" w:line="240" w:lineRule="auto"/>
        <w:rPr>
          <w:rFonts w:ascii="Arial" w:hAnsi="Arial" w:cs="Arial"/>
          <w:b/>
          <w:i/>
          <w:color w:val="000000"/>
        </w:rPr>
      </w:pPr>
      <w:r w:rsidRPr="00DB48DE">
        <w:rPr>
          <w:rFonts w:ascii="Arial" w:hAnsi="Arial" w:cs="Arial"/>
          <w:b/>
          <w:color w:val="000000"/>
        </w:rPr>
        <w:t xml:space="preserve">PLANTEAMIENTO DEL </w:t>
      </w:r>
      <w:r w:rsidR="009A3385" w:rsidRPr="00DB48DE">
        <w:rPr>
          <w:rFonts w:ascii="Arial" w:hAnsi="Arial" w:cs="Arial"/>
          <w:b/>
          <w:color w:val="000000"/>
        </w:rPr>
        <w:t xml:space="preserve">PROBLEMA </w:t>
      </w:r>
      <w:r w:rsidRPr="00DB48DE">
        <w:rPr>
          <w:rFonts w:ascii="Arial" w:hAnsi="Arial" w:cs="Arial"/>
          <w:i/>
          <w:color w:val="000000"/>
        </w:rPr>
        <w:t xml:space="preserve"> </w:t>
      </w:r>
    </w:p>
    <w:p w:rsidR="00B7393A" w:rsidRPr="00DB48DE" w:rsidRDefault="00B7393A" w:rsidP="00B7393A">
      <w:pPr>
        <w:pBdr>
          <w:top w:val="nil"/>
          <w:left w:val="nil"/>
          <w:bottom w:val="nil"/>
          <w:right w:val="nil"/>
          <w:between w:val="nil"/>
        </w:pBdr>
        <w:spacing w:after="0" w:line="240" w:lineRule="auto"/>
        <w:ind w:left="360"/>
        <w:rPr>
          <w:rFonts w:ascii="Arial" w:hAnsi="Arial" w:cs="Arial"/>
          <w:b/>
          <w:i/>
          <w:color w:val="000000"/>
        </w:rPr>
      </w:pP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En los tratamientos de ortodoncia invisible, el movimiento dental depende de la interacción biomecánica entre el diente y el alineador, la cual está directamente influenciada por la acción biológica del diente sobre los tejidos periodontales y las propiedades mecánicas del material</w:t>
      </w:r>
      <w:r w:rsidR="009A3385" w:rsidRPr="00DB48DE">
        <w:rPr>
          <w:rFonts w:ascii="Arial" w:hAnsi="Arial" w:cs="Arial"/>
          <w:color w:val="000000"/>
        </w:rPr>
        <w:t xml:space="preserve"> termoplástico que lo recubre [8], [9</w:t>
      </w:r>
      <w:r w:rsidRPr="00DB48DE">
        <w:rPr>
          <w:rFonts w:ascii="Arial" w:hAnsi="Arial" w:cs="Arial"/>
          <w:color w:val="000000"/>
        </w:rPr>
        <w:t>]. En este contexto, los alineadores fabricados por termoformado a partir de láminas poliméricas —ya sean monocapa o tricapa— deben ser capaces de transmitir fuerzas controladas y sostenidas para inducir desplazamientos precisos, como la torsión dental (rotación del diente alre</w:t>
      </w:r>
      <w:r w:rsidR="009A3385" w:rsidRPr="00DB48DE">
        <w:rPr>
          <w:rFonts w:ascii="Arial" w:hAnsi="Arial" w:cs="Arial"/>
          <w:color w:val="000000"/>
        </w:rPr>
        <w:t>dedor de su eje longitudinal) [10</w:t>
      </w:r>
      <w:r w:rsidRPr="00DB48DE">
        <w:rPr>
          <w:rFonts w:ascii="Arial" w:hAnsi="Arial" w:cs="Arial"/>
          <w:color w:val="000000"/>
        </w:rPr>
        <w:t>].</w:t>
      </w: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Sin embargo, esta acción biomecánica se enfrenta a limitaciones críticas.</w:t>
      </w: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 xml:space="preserve"> Por un lado, las propiedades iniciales del material termoformado (módulo elástico, límite de fluencia, espesor de la lámina y grado de adaptación al modelo dental) determinan su capacidad para ejercer las fuerzas requeridas </w:t>
      </w:r>
      <w:r w:rsidR="009A3385" w:rsidRPr="00DB48DE">
        <w:rPr>
          <w:rFonts w:ascii="Arial" w:hAnsi="Arial" w:cs="Arial"/>
          <w:color w:val="000000"/>
        </w:rPr>
        <w:t>sin deformarse plásticamente [11</w:t>
      </w:r>
      <w:r w:rsidRPr="00DB48DE">
        <w:rPr>
          <w:rFonts w:ascii="Arial" w:hAnsi="Arial" w:cs="Arial"/>
          <w:color w:val="000000"/>
        </w:rPr>
        <w:t>].</w:t>
      </w: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 xml:space="preserve"> Por otro, la acción biológica del entorno intraoral —caracterizada por variaciones térmicas, humedad constante, exposición a fuerzas repetidas de inserción y retiro, y reacciones enzimáticas o químicas de la saliva— puede alterar esas propiedades, reduciendo la rigidez, modificando el espesor efectivo o disminuyendo la resistencia a la torsión</w:t>
      </w:r>
      <w:r w:rsidR="009A3385" w:rsidRPr="00DB48DE">
        <w:rPr>
          <w:rFonts w:ascii="Arial" w:hAnsi="Arial" w:cs="Arial"/>
          <w:color w:val="000000"/>
        </w:rPr>
        <w:t xml:space="preserve"> del alineador con el tiempo [12], [13</w:t>
      </w:r>
      <w:r w:rsidRPr="00DB48DE">
        <w:rPr>
          <w:rFonts w:ascii="Arial" w:hAnsi="Arial" w:cs="Arial"/>
          <w:color w:val="000000"/>
        </w:rPr>
        <w:t>].</w:t>
      </w: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Este fenómeno afecta de manera distinta a los alineadores monocapa y tricapa, debido a su diferente estructura y comportamiento mecánico</w:t>
      </w:r>
      <w:r w:rsidR="009A3385" w:rsidRPr="00DB48DE">
        <w:rPr>
          <w:rFonts w:ascii="Arial" w:hAnsi="Arial" w:cs="Arial"/>
          <w:color w:val="000000"/>
        </w:rPr>
        <w:t xml:space="preserve"> frente a esfuerzos cíclicos [14</w:t>
      </w:r>
      <w:r w:rsidRPr="00DB48DE">
        <w:rPr>
          <w:rFonts w:ascii="Arial" w:hAnsi="Arial" w:cs="Arial"/>
          <w:color w:val="000000"/>
        </w:rPr>
        <w:t>]. En consecuencia, pueden presentarse discrepancias entre el movimiento dental planificado digitalmente y el realmente alcanzado, generando ineficiencias en el tratamiento, mayor número de alineadores requeridos y una prolongación inn</w:t>
      </w:r>
      <w:r w:rsidR="009A3385" w:rsidRPr="00DB48DE">
        <w:rPr>
          <w:rFonts w:ascii="Arial" w:hAnsi="Arial" w:cs="Arial"/>
          <w:color w:val="000000"/>
        </w:rPr>
        <w:t>ecesaria del proceso clínico [15</w:t>
      </w:r>
      <w:r w:rsidRPr="00DB48DE">
        <w:rPr>
          <w:rFonts w:ascii="Arial" w:hAnsi="Arial" w:cs="Arial"/>
          <w:color w:val="000000"/>
        </w:rPr>
        <w:t>].</w:t>
      </w:r>
    </w:p>
    <w:p w:rsidR="008D4ADD"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Por lo tanto, es necesario analizar cómo los cambios en la posición del diente durante el tratamiento, afectan las propiedades biomecánicas del material termoformado. Es necesario comparar el desempeño de los alineadores monocapa y tricapa frente a esfuerzos físico-mecánico y condiciones de uso prolongado, con el fin de determinar si el material mantiene su forma o tiende a volverse maleable con el tiempo</w:t>
      </w:r>
    </w:p>
    <w:p w:rsidR="00CA5CCC" w:rsidRPr="00DB48DE" w:rsidRDefault="00CA5CCC" w:rsidP="00CA5CCC">
      <w:pPr>
        <w:pBdr>
          <w:top w:val="nil"/>
          <w:left w:val="nil"/>
          <w:bottom w:val="nil"/>
          <w:right w:val="nil"/>
          <w:between w:val="nil"/>
        </w:pBdr>
        <w:spacing w:after="0" w:line="240" w:lineRule="auto"/>
        <w:rPr>
          <w:rFonts w:ascii="Arial" w:hAnsi="Arial" w:cs="Arial"/>
          <w:color w:val="000000"/>
        </w:rPr>
      </w:pPr>
    </w:p>
    <w:p w:rsidR="009A3385" w:rsidRPr="00DB48DE" w:rsidRDefault="009A3385" w:rsidP="009A3385">
      <w:pPr>
        <w:pBdr>
          <w:top w:val="nil"/>
          <w:left w:val="nil"/>
          <w:bottom w:val="nil"/>
          <w:right w:val="nil"/>
          <w:between w:val="nil"/>
        </w:pBdr>
        <w:spacing w:after="0" w:line="240" w:lineRule="auto"/>
        <w:rPr>
          <w:rFonts w:ascii="Arial" w:hAnsi="Arial" w:cs="Arial"/>
          <w:b/>
          <w:color w:val="000000"/>
        </w:rPr>
      </w:pPr>
    </w:p>
    <w:p w:rsidR="009A3385" w:rsidRPr="00DB48DE" w:rsidRDefault="009A3385" w:rsidP="009A3385">
      <w:pPr>
        <w:pBdr>
          <w:top w:val="nil"/>
          <w:left w:val="nil"/>
          <w:bottom w:val="nil"/>
          <w:right w:val="nil"/>
          <w:between w:val="nil"/>
        </w:pBdr>
        <w:spacing w:after="0" w:line="240" w:lineRule="auto"/>
        <w:rPr>
          <w:rFonts w:ascii="Arial" w:hAnsi="Arial" w:cs="Arial"/>
          <w:b/>
          <w:color w:val="000000"/>
        </w:rPr>
      </w:pPr>
    </w:p>
    <w:p w:rsidR="009A3385" w:rsidRPr="00DB48DE" w:rsidRDefault="009A3385" w:rsidP="009A3385">
      <w:pPr>
        <w:pBdr>
          <w:top w:val="nil"/>
          <w:left w:val="nil"/>
          <w:bottom w:val="nil"/>
          <w:right w:val="nil"/>
          <w:between w:val="nil"/>
        </w:pBdr>
        <w:spacing w:after="0" w:line="240" w:lineRule="auto"/>
        <w:rPr>
          <w:rFonts w:ascii="Arial" w:hAnsi="Arial" w:cs="Arial"/>
          <w:b/>
          <w:color w:val="000000"/>
        </w:rPr>
      </w:pPr>
    </w:p>
    <w:p w:rsidR="009A3385" w:rsidRPr="00DB48DE" w:rsidRDefault="009A3385" w:rsidP="009A3385">
      <w:pPr>
        <w:pBdr>
          <w:top w:val="nil"/>
          <w:left w:val="nil"/>
          <w:bottom w:val="nil"/>
          <w:right w:val="nil"/>
          <w:between w:val="nil"/>
        </w:pBdr>
        <w:spacing w:after="0" w:line="240" w:lineRule="auto"/>
        <w:rPr>
          <w:rFonts w:ascii="Arial" w:hAnsi="Arial" w:cs="Arial"/>
          <w:b/>
          <w:color w:val="000000"/>
        </w:rPr>
      </w:pPr>
    </w:p>
    <w:p w:rsidR="008D4ADD" w:rsidRPr="00DB48DE" w:rsidRDefault="009A3385" w:rsidP="009A3385">
      <w:pPr>
        <w:pBdr>
          <w:top w:val="nil"/>
          <w:left w:val="nil"/>
          <w:bottom w:val="nil"/>
          <w:right w:val="nil"/>
          <w:between w:val="nil"/>
        </w:pBdr>
        <w:spacing w:after="0" w:line="240" w:lineRule="auto"/>
        <w:rPr>
          <w:rFonts w:ascii="Arial" w:hAnsi="Arial" w:cs="Arial"/>
          <w:i/>
          <w:color w:val="000000"/>
        </w:rPr>
      </w:pPr>
      <w:r w:rsidRPr="00DB48DE">
        <w:rPr>
          <w:rFonts w:ascii="Arial" w:hAnsi="Arial" w:cs="Arial"/>
          <w:b/>
          <w:color w:val="000000"/>
        </w:rPr>
        <w:lastRenderedPageBreak/>
        <w:t xml:space="preserve">JUSTIFICACIÓN </w:t>
      </w:r>
    </w:p>
    <w:p w:rsidR="00B7393A" w:rsidRPr="00DB48DE" w:rsidRDefault="00B7393A" w:rsidP="00B7393A">
      <w:pPr>
        <w:pBdr>
          <w:top w:val="nil"/>
          <w:left w:val="nil"/>
          <w:bottom w:val="nil"/>
          <w:right w:val="nil"/>
          <w:between w:val="nil"/>
        </w:pBdr>
        <w:spacing w:after="0" w:line="240" w:lineRule="auto"/>
        <w:ind w:left="360"/>
        <w:rPr>
          <w:rFonts w:ascii="Arial" w:hAnsi="Arial" w:cs="Arial"/>
          <w:i/>
          <w:color w:val="000000"/>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 xml:space="preserve">La ortodoncia invisible con alineadores ha revolucionado el campo de la odontología estética y correctiva, </w:t>
      </w:r>
      <w:r w:rsidR="00C86B12">
        <w:rPr>
          <w:rFonts w:ascii="Arial" w:hAnsi="Arial" w:cs="Arial"/>
        </w:rPr>
        <w:t xml:space="preserve">donde </w:t>
      </w:r>
      <w:r w:rsidRPr="00DB48DE">
        <w:rPr>
          <w:rFonts w:ascii="Arial" w:hAnsi="Arial" w:cs="Arial"/>
        </w:rPr>
        <w:t xml:space="preserve">la eficacia de estos tratamientos se sustenta en un principio fundamental: la capacidad de cada alineador para ejercer y mantener fuerzas ortodónticas controladas y predecibles a lo largo de su uso. Es en este principio donde, </w:t>
      </w:r>
      <w:bookmarkStart w:id="0" w:name="_GoBack"/>
      <w:bookmarkEnd w:id="0"/>
      <w:r w:rsidRPr="00DB48DE">
        <w:rPr>
          <w:rFonts w:ascii="Arial" w:hAnsi="Arial" w:cs="Arial"/>
        </w:rPr>
        <w:t xml:space="preserve">se identifica una brecha crítica entre el diseño teórico y el desempeño in vivo del dispositivo </w:t>
      </w:r>
      <w:r w:rsidR="00DB48DE" w:rsidRPr="00DB48DE">
        <w:rPr>
          <w:rFonts w:ascii="Arial" w:hAnsi="Arial" w:cs="Arial"/>
        </w:rPr>
        <w:t>médico. [</w:t>
      </w:r>
      <w:r w:rsidRPr="00DB48DE">
        <w:rPr>
          <w:rFonts w:ascii="Arial" w:hAnsi="Arial" w:cs="Arial"/>
        </w:rPr>
        <w:t>1</w:t>
      </w:r>
      <w:r w:rsidR="009A3385" w:rsidRPr="00DB48DE">
        <w:rPr>
          <w:rFonts w:ascii="Arial" w:hAnsi="Arial" w:cs="Arial"/>
        </w:rPr>
        <w:t>6</w:t>
      </w:r>
      <w:r w:rsidRPr="00DB48DE">
        <w:rPr>
          <w:rFonts w:ascii="Arial" w:hAnsi="Arial" w:cs="Arial"/>
        </w:rPr>
        <w:t>].</w:t>
      </w: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Por lo tanto, este estudio se justifica en la necesidad urgente de cuantificar la degradación biomecánica de los alineadores. Al caracterizar rigurosamente las propiedades pre y post-termoformación, y deformación plástica bajo condiciones simuladas de uso, este proyecto de ingeniería biomédica busca generar datos cuantitativos y criterios de selección basados en evidencia. Los resultados permitirán:</w:t>
      </w: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w:t>
      </w:r>
      <w:r w:rsidRPr="00DB48DE">
        <w:rPr>
          <w:rFonts w:ascii="Arial" w:hAnsi="Arial" w:cs="Arial"/>
        </w:rPr>
        <w:tab/>
        <w:t>Validar Protocolos de Uso: Establecer los límites operativos de tiempo y activación para diferentes marcas y espesores, con el fin de maximizar la eficiencia de la fuerza aplicada y minimizar la pérdida de efectividad clínica.</w:t>
      </w: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8D4ADD"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w:t>
      </w:r>
      <w:r w:rsidRPr="00DB48DE">
        <w:rPr>
          <w:rFonts w:ascii="Arial" w:hAnsi="Arial" w:cs="Arial"/>
        </w:rPr>
        <w:tab/>
        <w:t>Mejorar la Planificación Clínica: Dotar a los ortodoncistas de información para seleccionar el tipo de alineador (monocapa vs. tricapa), espesor y protocolo de activación más adecuado para cada caso, minimizando las desviaciones del plan de tratamiento.</w:t>
      </w:r>
    </w:p>
    <w:p w:rsidR="008D4ADD" w:rsidRPr="00DB48DE" w:rsidRDefault="008D4ADD">
      <w:pPr>
        <w:pBdr>
          <w:top w:val="nil"/>
          <w:left w:val="nil"/>
          <w:bottom w:val="nil"/>
          <w:right w:val="nil"/>
          <w:between w:val="nil"/>
        </w:pBdr>
        <w:spacing w:after="0" w:line="240" w:lineRule="auto"/>
        <w:rPr>
          <w:rFonts w:ascii="Arial" w:hAnsi="Arial" w:cs="Arial"/>
          <w:b/>
        </w:rPr>
      </w:pPr>
    </w:p>
    <w:p w:rsidR="008D4ADD" w:rsidRPr="00DB48DE" w:rsidRDefault="005C24EA">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Objetivo g</w:t>
      </w:r>
      <w:r w:rsidR="00183791" w:rsidRPr="00DB48DE">
        <w:rPr>
          <w:rFonts w:ascii="Arial" w:hAnsi="Arial" w:cs="Arial"/>
          <w:b/>
          <w:color w:val="000000"/>
        </w:rPr>
        <w:t>eneral</w:t>
      </w:r>
    </w:p>
    <w:p w:rsidR="00CA5CCC" w:rsidRPr="00DB48DE" w:rsidRDefault="00CA5CCC">
      <w:pPr>
        <w:pBdr>
          <w:top w:val="nil"/>
          <w:left w:val="nil"/>
          <w:bottom w:val="nil"/>
          <w:right w:val="nil"/>
          <w:between w:val="nil"/>
        </w:pBdr>
        <w:spacing w:after="0" w:line="240" w:lineRule="auto"/>
        <w:rPr>
          <w:rFonts w:ascii="Arial" w:hAnsi="Arial" w:cs="Arial"/>
          <w:b/>
          <w:color w:val="000000"/>
        </w:rPr>
      </w:pPr>
    </w:p>
    <w:p w:rsidR="008D4ADD" w:rsidRPr="00DB48DE" w:rsidRDefault="00CA5CCC">
      <w:pPr>
        <w:pBdr>
          <w:top w:val="nil"/>
          <w:left w:val="nil"/>
          <w:bottom w:val="nil"/>
          <w:right w:val="nil"/>
          <w:between w:val="nil"/>
        </w:pBdr>
        <w:spacing w:after="0" w:line="240" w:lineRule="auto"/>
        <w:rPr>
          <w:rFonts w:ascii="Arial" w:hAnsi="Arial" w:cs="Arial"/>
          <w:i/>
        </w:rPr>
      </w:pPr>
      <w:r w:rsidRPr="00DB48DE">
        <w:rPr>
          <w:rFonts w:ascii="Arial" w:hAnsi="Arial" w:cs="Arial"/>
          <w:i/>
        </w:rPr>
        <w:t>Evaluar el comportamiento biomecánico y la integridad estructural de alineadores de PET-G y PU-Copolímero, analizando el impacto del post-termoformado y el microambiente intraoral en su capacidad de transferencia de fuerzas terapéuticas.</w:t>
      </w:r>
    </w:p>
    <w:p w:rsidR="00CA5CCC" w:rsidRPr="00DB48DE" w:rsidRDefault="00CA5CCC">
      <w:pPr>
        <w:pBdr>
          <w:top w:val="nil"/>
          <w:left w:val="nil"/>
          <w:bottom w:val="nil"/>
          <w:right w:val="nil"/>
          <w:between w:val="nil"/>
        </w:pBdr>
        <w:spacing w:after="0" w:line="240" w:lineRule="auto"/>
        <w:rPr>
          <w:rFonts w:ascii="Arial" w:hAnsi="Arial" w:cs="Arial"/>
          <w:i/>
        </w:rPr>
      </w:pPr>
    </w:p>
    <w:p w:rsidR="008D4ADD" w:rsidRPr="00DB48DE" w:rsidRDefault="00183791">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 xml:space="preserve">Objetivos </w:t>
      </w:r>
      <w:r w:rsidR="005C24EA" w:rsidRPr="00DB48DE">
        <w:rPr>
          <w:rFonts w:ascii="Arial" w:hAnsi="Arial" w:cs="Arial"/>
          <w:b/>
          <w:color w:val="000000"/>
        </w:rPr>
        <w:t>e</w:t>
      </w:r>
      <w:r w:rsidRPr="00DB48DE">
        <w:rPr>
          <w:rFonts w:ascii="Arial" w:hAnsi="Arial" w:cs="Arial"/>
          <w:b/>
          <w:color w:val="000000"/>
        </w:rPr>
        <w:t xml:space="preserve">specíficos </w:t>
      </w:r>
    </w:p>
    <w:p w:rsidR="005F3BEB" w:rsidRPr="00DB48DE" w:rsidRDefault="005F3BEB">
      <w:pPr>
        <w:pBdr>
          <w:top w:val="nil"/>
          <w:left w:val="nil"/>
          <w:bottom w:val="nil"/>
          <w:right w:val="nil"/>
          <w:between w:val="nil"/>
        </w:pBdr>
        <w:spacing w:after="0" w:line="240" w:lineRule="auto"/>
        <w:rPr>
          <w:rFonts w:ascii="Arial" w:hAnsi="Arial" w:cs="Arial"/>
          <w:b/>
          <w:color w:val="000000"/>
        </w:rPr>
      </w:pPr>
    </w:p>
    <w:p w:rsidR="008D4ADD"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Determinar las propiedades mecánicas de referencia (módulo elástico, resistencia a la tracción y dureza) de las láminas de PET-G y PU-Copolímero en su estado inicial.</w:t>
      </w:r>
    </w:p>
    <w:p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Cuantificar las variaciones en las propiedades físico-mecánicas de los materiales inducidas por el proceso de termoformado sobre modelos dentales estandarizados.</w:t>
      </w:r>
    </w:p>
    <w:p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Analizar el comportamiento de deformación plástica y fluencia (creep) de los alineadores tras ser sometidos a ciclos de carga mecánica y condiciones ambientales controladas.</w:t>
      </w:r>
    </w:p>
    <w:p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Comparar el desempeño de ambos materiales para establecer cuál presenta menor degradación estructural frente a las cargas requeridas para el movimiento dental.</w:t>
      </w:r>
    </w:p>
    <w:p w:rsidR="005F3BEB" w:rsidRPr="00DB48DE" w:rsidRDefault="005F3BEB" w:rsidP="005F3BEB">
      <w:pPr>
        <w:pStyle w:val="Prrafodelista"/>
        <w:pBdr>
          <w:top w:val="nil"/>
          <w:left w:val="nil"/>
          <w:bottom w:val="nil"/>
          <w:right w:val="nil"/>
          <w:between w:val="nil"/>
        </w:pBdr>
        <w:spacing w:after="0" w:line="240" w:lineRule="auto"/>
        <w:ind w:left="360"/>
        <w:rPr>
          <w:rFonts w:ascii="Arial" w:hAnsi="Arial" w:cs="Arial"/>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8D4ADD" w:rsidRPr="00DB48DE" w:rsidRDefault="00183791" w:rsidP="009A3385">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 xml:space="preserve">METODOLOGÍA </w:t>
      </w:r>
    </w:p>
    <w:p w:rsidR="00B7393A" w:rsidRPr="00DB48DE" w:rsidRDefault="00B7393A" w:rsidP="00B7393A">
      <w:pPr>
        <w:pStyle w:val="Prrafodelista"/>
        <w:pBdr>
          <w:top w:val="nil"/>
          <w:left w:val="nil"/>
          <w:bottom w:val="nil"/>
          <w:right w:val="nil"/>
          <w:between w:val="nil"/>
        </w:pBdr>
        <w:spacing w:after="0" w:line="240" w:lineRule="auto"/>
        <w:ind w:left="360"/>
        <w:rPr>
          <w:rFonts w:ascii="Arial" w:hAnsi="Arial" w:cs="Arial"/>
          <w:b/>
          <w:color w:val="000000"/>
        </w:rPr>
      </w:pP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lastRenderedPageBreak/>
        <w:t>FASE 1</w:t>
      </w:r>
      <w:r w:rsidRPr="00DB48DE">
        <w:rPr>
          <w:rFonts w:ascii="Arial" w:hAnsi="Arial" w:cs="Arial"/>
          <w:color w:val="000000"/>
          <w:lang w:val="es-MX"/>
        </w:rPr>
        <w:t> Caracterización mecánica inicial de los materiales</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Las láminas de PET-G y PU-copolímero se acondicionan a 23 ± 2 °C y 50 ± 5 % de humedad relativa durante 48 h según normas de acondicionamiento de ensayos mecánicos de plásticos [1]. Se preparan probetas tipo I</w:t>
      </w:r>
      <w:r w:rsidR="00CB4246">
        <w:rPr>
          <w:rFonts w:ascii="Arial" w:hAnsi="Arial" w:cs="Arial"/>
          <w:color w:val="000000"/>
          <w:lang w:val="es-MX"/>
        </w:rPr>
        <w:t xml:space="preserve"> y tipo IV</w:t>
      </w:r>
      <w:r w:rsidRPr="00DB48DE">
        <w:rPr>
          <w:rFonts w:ascii="Arial" w:hAnsi="Arial" w:cs="Arial"/>
          <w:color w:val="000000"/>
          <w:lang w:val="es-MX"/>
        </w:rPr>
        <w:t xml:space="preserve"> para</w:t>
      </w:r>
      <w:r w:rsidR="001508D4">
        <w:rPr>
          <w:rFonts w:ascii="Arial" w:hAnsi="Arial" w:cs="Arial"/>
          <w:color w:val="000000"/>
          <w:lang w:val="es-MX"/>
        </w:rPr>
        <w:t xml:space="preserve"> espesores de 1.5mm para</w:t>
      </w:r>
      <w:r w:rsidRPr="00DB48DE">
        <w:rPr>
          <w:rFonts w:ascii="Arial" w:hAnsi="Arial" w:cs="Arial"/>
          <w:color w:val="000000"/>
          <w:lang w:val="es-MX"/>
        </w:rPr>
        <w:t xml:space="preserve"> tracción y prismáticas para flexión mediante corte CNC con tolerancias ±0,1 mm.</w:t>
      </w:r>
      <w:r w:rsidR="00D93B54" w:rsidRPr="00D93B54">
        <w:rPr>
          <w:rFonts w:ascii="Arial" w:hAnsi="Arial" w:cs="Arial"/>
          <w:color w:val="000000"/>
          <w:lang w:val="es-MX"/>
        </w:rPr>
        <w:t xml:space="preserve"> </w:t>
      </w:r>
      <w:r w:rsidR="00D93B54">
        <w:rPr>
          <w:rFonts w:ascii="Arial" w:hAnsi="Arial" w:cs="Arial"/>
          <w:color w:val="000000"/>
          <w:lang w:val="es-MX"/>
        </w:rPr>
        <w:t>Para probetas de espesor de 0.5mm se elaborarán conforme a ASTM D882 [17]</w:t>
      </w:r>
      <w:r w:rsidR="00D93B54">
        <w:rPr>
          <w:rFonts w:ascii="Arial" w:hAnsi="Arial" w:cs="Arial"/>
          <w:color w:val="000000"/>
          <w:lang w:val="es-MX"/>
        </w:rPr>
        <w:t>.</w:t>
      </w:r>
      <w:r w:rsidRPr="00DB48DE">
        <w:rPr>
          <w:rFonts w:ascii="Arial" w:hAnsi="Arial" w:cs="Arial"/>
          <w:color w:val="000000"/>
          <w:lang w:val="es-MX"/>
        </w:rPr>
        <w:t xml:space="preserve"> Los ensayos de tracción se ejecutan en una máquina universal de ensayo Instron 3365 con celda de carga de 5 kN y velocidad de cruceta de 5 mm/min, determinando módulo elástico, resistencia máxima y elongación a la rotura conforme a ASTM D638 [1].</w:t>
      </w:r>
      <w:r w:rsidR="001508D4">
        <w:rPr>
          <w:rFonts w:ascii="Arial" w:hAnsi="Arial" w:cs="Arial"/>
          <w:color w:val="000000"/>
          <w:lang w:val="es-MX"/>
        </w:rPr>
        <w:t xml:space="preserve"> Para probetas de espesor de 0.5mm</w:t>
      </w:r>
      <w:r w:rsidR="00D93B54">
        <w:rPr>
          <w:rFonts w:ascii="Arial" w:hAnsi="Arial" w:cs="Arial"/>
          <w:color w:val="000000"/>
          <w:lang w:val="es-MX"/>
        </w:rPr>
        <w:t xml:space="preserve"> se elaborarán conforme a ASTM D882 [17]</w:t>
      </w:r>
      <w:r w:rsidRPr="00DB48DE">
        <w:rPr>
          <w:rFonts w:ascii="Arial" w:hAnsi="Arial" w:cs="Arial"/>
          <w:color w:val="000000"/>
          <w:lang w:val="es-MX"/>
        </w:rPr>
        <w:t xml:space="preserve"> Para evaluar rigidez a flexión se aplica el método de tres puntos según ASTM D790 [2], y el comportamiento dinámico-viscoelástico se obtiene mediante análisis dinámico-mecánico (DMA) con equipo TA Instruments Q800 conforme a ASTM D5024 [3].</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2</w:t>
      </w:r>
      <w:r w:rsidRPr="00DB48DE">
        <w:rPr>
          <w:rFonts w:ascii="Arial" w:hAnsi="Arial" w:cs="Arial"/>
          <w:color w:val="000000"/>
          <w:lang w:val="es-MX"/>
        </w:rPr>
        <w:t> Termoformado y evaluación post-proceso</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 xml:space="preserve">Las láminas acondicionadas se </w:t>
      </w:r>
      <w:r w:rsidR="00764AF4" w:rsidRPr="00DB48DE">
        <w:rPr>
          <w:rFonts w:ascii="Arial" w:hAnsi="Arial" w:cs="Arial"/>
          <w:color w:val="000000"/>
          <w:lang w:val="es-MX"/>
        </w:rPr>
        <w:t>termo forman</w:t>
      </w:r>
      <w:r w:rsidRPr="00DB48DE">
        <w:rPr>
          <w:rFonts w:ascii="Arial" w:hAnsi="Arial" w:cs="Arial"/>
          <w:color w:val="000000"/>
          <w:lang w:val="es-MX"/>
        </w:rPr>
        <w:t xml:space="preserve"> sobre modelos dentales estandarizados usando una </w:t>
      </w:r>
      <w:r w:rsidR="00764AF4" w:rsidRPr="00764AF4">
        <w:rPr>
          <w:rFonts w:ascii="Arial" w:hAnsi="Arial" w:cs="Arial"/>
          <w:color w:val="000000"/>
          <w:lang w:val="es-MX"/>
        </w:rPr>
        <w:t>Erkopress Ci-motion de erkodent</w:t>
      </w:r>
      <w:r w:rsidR="00764AF4">
        <w:rPr>
          <w:rFonts w:ascii="Arial" w:hAnsi="Arial" w:cs="Arial"/>
          <w:color w:val="000000"/>
          <w:lang w:val="es-MX"/>
        </w:rPr>
        <w:t xml:space="preserve"> </w:t>
      </w:r>
      <w:r w:rsidRPr="00DB48DE">
        <w:rPr>
          <w:rFonts w:ascii="Arial" w:hAnsi="Arial" w:cs="Arial"/>
          <w:color w:val="000000"/>
          <w:lang w:val="es-MX"/>
        </w:rPr>
        <w:t xml:space="preserve">Se emplean temperaturas de 160 – 180 °C para PET-G y 140 – 160 °C para PU, controladas mediante calentamiento infrarrojo para garantizar fluidez sin descomposición del polímero [7]. Tras enfriamiento a temperatura ambiente durante 10 min, los alineadores se recortan y de ellos se extraen probetas para ensayos mecánicos equivalentes a la Fase 1, permitiendo cuantificar variaciones inducidas por el proceso de conformado. </w:t>
      </w:r>
      <w:r w:rsidRPr="00757230">
        <w:rPr>
          <w:rFonts w:ascii="Arial" w:hAnsi="Arial" w:cs="Arial"/>
          <w:color w:val="000000"/>
          <w:highlight w:val="yellow"/>
          <w:lang w:val="es-MX"/>
        </w:rPr>
        <w:t>La estabilidad térmica y las transiciones térmicas del material se evalúan mediante calorimetría diferencial de barrido (DSC) con TA Instruments Q2000, siguiendo ASTM D3418 [5].</w:t>
      </w:r>
      <w:r w:rsidR="00757230">
        <w:rPr>
          <w:rFonts w:ascii="Arial" w:hAnsi="Arial" w:cs="Arial"/>
          <w:color w:val="000000"/>
          <w:lang w:val="es-MX"/>
        </w:rPr>
        <w:t xml:space="preserve"> Posible para borrar.</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3</w:t>
      </w:r>
      <w:r w:rsidRPr="00DB48DE">
        <w:rPr>
          <w:rFonts w:ascii="Arial" w:hAnsi="Arial" w:cs="Arial"/>
          <w:color w:val="000000"/>
          <w:lang w:val="es-MX"/>
        </w:rPr>
        <w:t> Simulación del microambiente intraoral y análisis de fluencia</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Los alineadores termoformados se someten a envejecimiento acelerado en cámara climática Binder KBF 240 a 37 ± 1 °C y ≥95 % de humedad relativa para simular condiciones intraorales [2], [7]. Posteriormente, se aplican cargas mecánicas constantes entre 0,5 y 2 N representativas de fuerzas ortodónticas clínicas utilizando una máquina de ensayos Instron 5943 configurada para fluencia. La deformación temporal y residual se registra mediante extensometría de alta resolución (±1 µm). Esta fase permite evaluar la estabilidad dimensional y la respuesta viscoelástica de los materiales bajo estrés prolo</w:t>
      </w:r>
      <w:r w:rsidR="006A0E7F">
        <w:rPr>
          <w:rFonts w:ascii="Arial" w:hAnsi="Arial" w:cs="Arial"/>
          <w:color w:val="000000"/>
          <w:lang w:val="es-MX"/>
        </w:rPr>
        <w:t>ngado de acuerdo con ASTM D2990</w:t>
      </w:r>
      <w:r w:rsidRPr="00DB48DE">
        <w:rPr>
          <w:rFonts w:ascii="Arial" w:hAnsi="Arial" w:cs="Arial"/>
          <w:color w:val="000000"/>
          <w:lang w:val="es-MX"/>
        </w:rPr>
        <w:t xml:space="preserve"> [4].</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4</w:t>
      </w:r>
      <w:r w:rsidRPr="00DB48DE">
        <w:rPr>
          <w:rFonts w:ascii="Arial" w:hAnsi="Arial" w:cs="Arial"/>
          <w:color w:val="000000"/>
          <w:lang w:val="es-MX"/>
        </w:rPr>
        <w:t> Análisis comparativo del desempeño biomecánico e interpretación clínica</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Los datos experimentales se procesan mediante análisis estadístico paramétrico</w:t>
      </w:r>
      <w:r w:rsidR="005F0E04">
        <w:rPr>
          <w:rFonts w:ascii="Arial" w:hAnsi="Arial" w:cs="Arial"/>
          <w:color w:val="000000"/>
          <w:lang w:val="es-MX"/>
        </w:rPr>
        <w:t>, específicamente a través de pruebas ANOVA con un nivel de significancia de p &lt; 0,05</w:t>
      </w:r>
      <w:r w:rsidRPr="00DB48DE">
        <w:rPr>
          <w:rFonts w:ascii="Arial" w:hAnsi="Arial" w:cs="Arial"/>
          <w:color w:val="000000"/>
          <w:lang w:val="es-MX"/>
        </w:rPr>
        <w:t>. Se comparan pérdidas relativas de módulo elástico, resistencia mecánica, deformación permanente y fluencia entre PET-G y PU-copolímero, evaluando su capacidad para mantener fuerzas terapéuticas estables tras envejecimiento simulados [6]. El análisis se orienta a determinar qué material presenta menor degradación estructural bajo condiciones de uso ortodóntico y ofrecer criterios técnicos para su selección clínica. Estudios de la literatura reciente han mostrado diferencias significativas en rigidez y estabilidad mecánica entre PET-G y TPU, siendo relevante considerar grosor del material y condiciones de carga [6], [8].</w:t>
      </w:r>
    </w:p>
    <w:p w:rsidR="005F3BEB" w:rsidRPr="00DB48DE" w:rsidRDefault="005F3BEB" w:rsidP="00B7393A">
      <w:pPr>
        <w:pStyle w:val="Prrafodelista"/>
        <w:pBdr>
          <w:top w:val="nil"/>
          <w:left w:val="nil"/>
          <w:bottom w:val="nil"/>
          <w:right w:val="nil"/>
          <w:between w:val="nil"/>
        </w:pBdr>
        <w:spacing w:after="0" w:line="240" w:lineRule="auto"/>
        <w:ind w:left="360"/>
        <w:rPr>
          <w:rFonts w:ascii="Arial" w:hAnsi="Arial" w:cs="Arial"/>
          <w:b/>
          <w:color w:val="000000"/>
          <w:lang w:val="es-MX"/>
        </w:rPr>
      </w:pPr>
    </w:p>
    <w:p w:rsidR="008D4ADD" w:rsidRPr="00DB48DE" w:rsidRDefault="00183791">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Etapas del Proyecto</w:t>
      </w:r>
    </w:p>
    <w:p w:rsidR="00B7393A" w:rsidRPr="00DB48DE" w:rsidRDefault="00B7393A">
      <w:pPr>
        <w:pBdr>
          <w:top w:val="nil"/>
          <w:left w:val="nil"/>
          <w:bottom w:val="nil"/>
          <w:right w:val="nil"/>
          <w:between w:val="nil"/>
        </w:pBdr>
        <w:spacing w:after="0" w:line="240" w:lineRule="auto"/>
        <w:jc w:val="both"/>
        <w:rPr>
          <w:rFonts w:ascii="Arial" w:eastAsia="Arial" w:hAnsi="Arial" w:cs="Arial"/>
          <w:i/>
          <w:color w:val="000000" w:themeColor="text1"/>
        </w:rPr>
      </w:pPr>
    </w:p>
    <w:p w:rsidR="00DB48DE" w:rsidRDefault="00DB48DE">
      <w:pPr>
        <w:spacing w:after="0" w:line="240" w:lineRule="auto"/>
        <w:rPr>
          <w:rFonts w:ascii="Arial" w:hAnsi="Arial" w:cs="Arial"/>
          <w:color w:val="000000"/>
        </w:rPr>
      </w:pPr>
    </w:p>
    <w:p w:rsidR="008D4ADD" w:rsidRPr="00DB48DE" w:rsidRDefault="00183791">
      <w:pPr>
        <w:spacing w:after="0" w:line="240" w:lineRule="auto"/>
        <w:rPr>
          <w:rFonts w:ascii="Arial" w:hAnsi="Arial" w:cs="Arial"/>
          <w:b/>
          <w:lang w:val="es-MX"/>
        </w:rPr>
      </w:pPr>
      <w:r w:rsidRPr="00DB48DE">
        <w:rPr>
          <w:rFonts w:ascii="Arial" w:hAnsi="Arial" w:cs="Arial"/>
          <w:b/>
          <w:lang w:val="es-MX"/>
        </w:rPr>
        <w:t xml:space="preserve">PRESUPUESTO </w:t>
      </w:r>
    </w:p>
    <w:p w:rsidR="008D4ADD" w:rsidRPr="00DB48DE" w:rsidRDefault="008D4ADD">
      <w:pPr>
        <w:spacing w:after="0" w:line="240" w:lineRule="auto"/>
        <w:rPr>
          <w:rFonts w:ascii="Arial" w:hAnsi="Arial" w:cs="Arial"/>
          <w:b/>
          <w:lang w:val="es-MX"/>
        </w:rPr>
      </w:pPr>
    </w:p>
    <w:p w:rsidR="008D4ADD" w:rsidRPr="00DB48DE" w:rsidRDefault="00DB48DE" w:rsidP="00DB48DE">
      <w:pPr>
        <w:spacing w:after="0" w:line="240" w:lineRule="auto"/>
        <w:rPr>
          <w:rFonts w:ascii="Arial" w:hAnsi="Arial" w:cs="Arial"/>
          <w:b/>
          <w:lang w:val="es-MX"/>
        </w:rPr>
      </w:pPr>
      <w:r w:rsidRPr="00DB48DE">
        <w:rPr>
          <w:rFonts w:ascii="Arial" w:hAnsi="Arial" w:cs="Arial"/>
          <w:b/>
          <w:color w:val="000000"/>
        </w:rPr>
        <w:t>CRONOGRAMA</w:t>
      </w:r>
    </w:p>
    <w:p w:rsidR="008D4ADD" w:rsidRPr="00DB48DE" w:rsidRDefault="008D4ADD" w:rsidP="009A3385">
      <w:pPr>
        <w:pBdr>
          <w:top w:val="nil"/>
          <w:left w:val="nil"/>
          <w:bottom w:val="nil"/>
          <w:right w:val="nil"/>
          <w:between w:val="nil"/>
        </w:pBdr>
        <w:spacing w:after="0" w:line="240" w:lineRule="auto"/>
        <w:rPr>
          <w:rFonts w:ascii="Arial" w:hAnsi="Arial" w:cs="Arial"/>
          <w:b/>
          <w:color w:val="000000"/>
          <w:lang w:val="es-MX"/>
        </w:rPr>
      </w:pPr>
    </w:p>
    <w:p w:rsidR="008D4ADD" w:rsidRPr="00DB48DE" w:rsidRDefault="00DB48DE">
      <w:pPr>
        <w:pBdr>
          <w:top w:val="nil"/>
          <w:left w:val="nil"/>
          <w:bottom w:val="nil"/>
          <w:right w:val="nil"/>
          <w:between w:val="nil"/>
        </w:pBdr>
        <w:spacing w:after="0" w:line="240" w:lineRule="auto"/>
        <w:rPr>
          <w:rFonts w:ascii="Arial" w:hAnsi="Arial" w:cs="Arial"/>
          <w:b/>
          <w:color w:val="000000"/>
          <w:lang w:val="es-MX"/>
        </w:rPr>
      </w:pPr>
      <w:r>
        <w:rPr>
          <w:rFonts w:ascii="Arial" w:hAnsi="Arial" w:cs="Arial"/>
          <w:b/>
          <w:color w:val="000000"/>
          <w:lang w:val="es-MX"/>
        </w:rPr>
        <w:t xml:space="preserve">BIBLIOGRAFÍA </w:t>
      </w:r>
    </w:p>
    <w:p w:rsidR="009A3385" w:rsidRPr="00DB48DE" w:rsidRDefault="009A3385">
      <w:pPr>
        <w:pBdr>
          <w:top w:val="nil"/>
          <w:left w:val="nil"/>
          <w:bottom w:val="nil"/>
          <w:right w:val="nil"/>
          <w:between w:val="nil"/>
        </w:pBdr>
        <w:spacing w:after="0" w:line="240" w:lineRule="auto"/>
        <w:rPr>
          <w:rFonts w:ascii="Arial" w:hAnsi="Arial" w:cs="Arial"/>
          <w:color w:val="000000"/>
          <w:lang w:val="es-MX"/>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 xml:space="preserve">[1] ASTM International, ASTM D638-21: Standard test method for tensile properties of plastics, ASTM, 2021. </w:t>
      </w:r>
      <w:hyperlink r:id="rId8" w:history="1">
        <w:r w:rsidRPr="00DB48DE">
          <w:rPr>
            <w:rStyle w:val="Hipervnculo"/>
            <w:rFonts w:ascii="Arial" w:hAnsi="Arial" w:cs="Arial"/>
            <w:lang w:val="en-US"/>
          </w:rPr>
          <w:t>https://www.astm.org/Standards/D638.htm</w:t>
        </w:r>
      </w:hyperlink>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[2] ASTM International, ASTM D790-20: Standard test methods for flexural properties of unreinforced and reinforced plastics, ASTM, 2020. https://www.astm.org/Standards/D790.htm</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[3] ASTM International, ASTM D5024-19: Standard test method for measurement of dynamic mechanical properties of polymeric materials, ASTM, 2019. https://www.astm.org/Standards/D5024.htm</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[4] ASTM International, ASTM D2990-20: Standard test methods for tensile, compressive, and flexural creep and creep-rupture of plastics, ASTM, 2020. https://www.astm.org/Standards/D2990.htm</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6A0E7F">
        <w:rPr>
          <w:rFonts w:ascii="Arial" w:hAnsi="Arial" w:cs="Arial"/>
          <w:highlight w:val="yellow"/>
          <w:lang w:val="en-US"/>
        </w:rPr>
        <w:t>[5] ASTM International, ASTM D3418-22: Standard test method for transition temperatures and enthalpies of fusion and crystallization of polymers by differential scanning calorimetry, ASTM, 2022. https://www.astm.org/Standards/D3418.htm</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6A0E7F">
      <w:pPr>
        <w:pBdr>
          <w:top w:val="nil"/>
          <w:left w:val="nil"/>
          <w:bottom w:val="nil"/>
          <w:right w:val="nil"/>
          <w:between w:val="nil"/>
        </w:pBdr>
        <w:spacing w:line="240" w:lineRule="auto"/>
        <w:rPr>
          <w:rFonts w:ascii="Arial" w:hAnsi="Arial" w:cs="Arial"/>
          <w:lang w:val="en-US"/>
        </w:rPr>
      </w:pPr>
      <w:r w:rsidRPr="00DB48DE">
        <w:rPr>
          <w:rFonts w:ascii="Arial" w:hAnsi="Arial" w:cs="Arial"/>
          <w:lang w:val="en-US"/>
        </w:rPr>
        <w:t xml:space="preserve">[6] </w:t>
      </w:r>
      <w:r w:rsidR="006A0E7F" w:rsidRPr="006A0E7F">
        <w:rPr>
          <w:rFonts w:ascii="Arial" w:hAnsi="Arial" w:cs="Arial"/>
          <w:lang w:val="en-US"/>
        </w:rPr>
        <w:t xml:space="preserve">Liu, M., Wang, Y., Bian, C., Han, Y., Qin, X., Sun, J., Bai, Y., &amp; Zhang, N. (2025). Comparative mechanical performance of thermoplastic materials for clear aligners under simulated oral conditions. </w:t>
      </w:r>
      <w:r w:rsidR="006A0E7F" w:rsidRPr="006A0E7F">
        <w:rPr>
          <w:rFonts w:ascii="Arial" w:hAnsi="Arial" w:cs="Arial"/>
          <w:i/>
          <w:iCs/>
          <w:lang w:val="en-US"/>
        </w:rPr>
        <w:t>The Korean Journal Of Orthodontics</w:t>
      </w:r>
      <w:r w:rsidR="006A0E7F" w:rsidRPr="006A0E7F">
        <w:rPr>
          <w:rFonts w:ascii="Arial" w:hAnsi="Arial" w:cs="Arial"/>
          <w:lang w:val="en-US"/>
        </w:rPr>
        <w:t xml:space="preserve">, </w:t>
      </w:r>
      <w:r w:rsidR="006A0E7F" w:rsidRPr="006A0E7F">
        <w:rPr>
          <w:rFonts w:ascii="Arial" w:hAnsi="Arial" w:cs="Arial"/>
          <w:i/>
          <w:iCs/>
          <w:lang w:val="en-US"/>
        </w:rPr>
        <w:t>55</w:t>
      </w:r>
      <w:r w:rsidR="006A0E7F" w:rsidRPr="006A0E7F">
        <w:rPr>
          <w:rFonts w:ascii="Arial" w:hAnsi="Arial" w:cs="Arial"/>
          <w:lang w:val="en-US"/>
        </w:rPr>
        <w:t>(5), 380-391. https://doi.org/10.4041/kjod25.094</w:t>
      </w:r>
      <w:r w:rsidR="006A0E7F">
        <w:rPr>
          <w:rFonts w:ascii="Arial" w:hAnsi="Arial" w:cs="Arial"/>
          <w:lang w:val="en-US"/>
        </w:rPr>
        <w:t xml:space="preserve"> </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[7] “Effects of Thermoforming on the Mechanical, Optical, Chemical, and Morphological Properties of PET-G: In Vitro Study,” Polymers, vol. 16, no. 2, 2024. https://www.mdpi.com/2073-4360/16/2/203</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8D4ADD" w:rsidRPr="00DB48DE" w:rsidRDefault="009A3385" w:rsidP="009A3385">
      <w:pPr>
        <w:pBdr>
          <w:top w:val="nil"/>
          <w:left w:val="nil"/>
          <w:bottom w:val="nil"/>
          <w:right w:val="nil"/>
          <w:between w:val="nil"/>
        </w:pBdr>
        <w:spacing w:after="0" w:line="240" w:lineRule="auto"/>
        <w:rPr>
          <w:rFonts w:ascii="Arial" w:hAnsi="Arial" w:cs="Arial"/>
          <w:b/>
          <w:lang w:val="en-US"/>
        </w:rPr>
      </w:pPr>
      <w:r w:rsidRPr="00DB48DE">
        <w:rPr>
          <w:rFonts w:ascii="Arial" w:hAnsi="Arial" w:cs="Arial"/>
          <w:lang w:val="en-US"/>
        </w:rPr>
        <w:t>[8] A. K. Papadopoulou et al., “Changes in roughness and mechanical properties of Invisalign® appliances after one- and two-weeks use,” Materials (Basel), vol. 12, no. 15, p. 2406, 2019. https://pubmed.ncbi.nlm.nih.gov/31357697/</w:t>
      </w:r>
    </w:p>
    <w:p w:rsidR="009A3385" w:rsidRPr="00DB48DE" w:rsidRDefault="009A3385">
      <w:pPr>
        <w:pBdr>
          <w:top w:val="nil"/>
          <w:left w:val="nil"/>
          <w:bottom w:val="nil"/>
          <w:right w:val="nil"/>
          <w:between w:val="nil"/>
        </w:pBdr>
        <w:spacing w:after="0" w:line="240" w:lineRule="auto"/>
        <w:rPr>
          <w:rFonts w:ascii="Arial" w:hAnsi="Arial" w:cs="Arial"/>
          <w:b/>
          <w:lang w:val="en-US"/>
        </w:rPr>
      </w:pPr>
    </w:p>
    <w:p w:rsidR="009A3385" w:rsidRPr="00DB48DE" w:rsidRDefault="00183791"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bookmarkStart w:id="1" w:name="_heading=h.gjdgxs" w:colFirst="0" w:colLast="0"/>
      <w:bookmarkEnd w:id="1"/>
      <w:r w:rsidRPr="00DB48DE">
        <w:rPr>
          <w:rFonts w:ascii="Arial" w:eastAsia="Arial" w:hAnsi="Arial" w:cs="Arial"/>
          <w:i/>
          <w:color w:val="000000" w:themeColor="text1"/>
          <w:lang w:val="en-US"/>
        </w:rPr>
        <w:t xml:space="preserve"> </w:t>
      </w:r>
      <w:r w:rsidR="009A3385" w:rsidRPr="00DB48DE">
        <w:rPr>
          <w:rFonts w:ascii="Arial" w:eastAsia="Arial" w:hAnsi="Arial" w:cs="Arial"/>
          <w:i/>
          <w:color w:val="000000" w:themeColor="text1"/>
          <w:lang w:val="en-US"/>
        </w:rPr>
        <w:t>[8] J. Li, J. Si, C. Xue, y H. Xu, «Seeking orderness out of the orderless movements: an up-to-date review of the biomechanics in clear aligners», Progress In Orthodontics, vol. 25, n.o 1, p. 44, nov. 2024, doi: 10.1186/s40510-024-00543-1.</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[9]J. I. Delgado, P. Kehyaian, y J. P. Fernández-Blázquez, «Thermoplastics for Clear Aligners: A Review», Polymers, vol. 17, n.o 12, p. 1681, jun. 2025, doi: 10.3390/polym17121681.</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 xml:space="preserve"> </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lastRenderedPageBreak/>
        <w:t>[10] F. Tamburrino, V. D’Antò, R. Bucci, G. Alessandri-Bonetti, S. Barone, y A. V. Razionale, «Mechanical Properties of Thermoplastic Polymers for Aligner Manufacturing: In Vitro Study», Dentistry Journal, vol. 8, n.o 2, p. 47, may 2020, doi: 10.3390/dj8020047.</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[11] T. M. Elshazly et al., «Effect of material composition and thickness of orthodontic aligners on the transmission and distribution of forces: an in vitro study», Clinical Oral Investigations, vol. 28, n.o 5, p. 258, abr. 2024, doi: 10.1007/s00784-024-05662-x.</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[12] K. Siotou et al., «The Mechanical Properties of Orthodontic Aligners of Clear Aligner After Intraoral Use in Different Time Periods», Orthodontics And Craniofacial Research, vol. 28, n.o 2, pp. 253-260, oct. 2024, doi: 10.1111/ocr.12867.</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[13] M. Bhate y S. Nagesh, «Assessment of the Effect of Thermoforming Process and Simulated Aging on the Mechanical Properties of Clear Aligner Material», Cureus, vol. 16, n.o 7, p. e64933, jul. 2024, doi: 10.7759/cureus.64933.</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[14] Y. M. Bichu et al., «Advances in orthodontic clear aligner materials», Bioactive Materials, vol. 22, pp. 384-403, oct. 2022, doi: 10.1016/j.bioactmat.2022.10.006.</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8D4ADD"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[15] J. Monisha y E. Peter, «Efficacy of clear aligner wear protocols in orthodontic tooth movement—a systematic review», European Journal Of Orthodontics, vol. 46, n.o 3, abr. 2024, doi: 10.1093/ejo/cjae020.</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Default="009A3385" w:rsidP="009A3385">
      <w:pPr>
        <w:pBdr>
          <w:top w:val="nil"/>
          <w:left w:val="nil"/>
          <w:bottom w:val="nil"/>
          <w:right w:val="nil"/>
          <w:between w:val="nil"/>
        </w:pBdr>
        <w:spacing w:after="0" w:line="240" w:lineRule="auto"/>
        <w:rPr>
          <w:rFonts w:ascii="Arial" w:hAnsi="Arial" w:cs="Arial"/>
          <w:color w:val="000000"/>
          <w:lang w:val="en-US"/>
        </w:rPr>
      </w:pPr>
      <w:r w:rsidRPr="00DB48DE">
        <w:rPr>
          <w:rFonts w:ascii="Arial" w:hAnsi="Arial" w:cs="Arial"/>
          <w:color w:val="000000"/>
          <w:lang w:val="en-US"/>
        </w:rPr>
        <w:t>[16] S. Barone, A. Paoli, P. Neri, A. V. Razionale, y M. Giannese, «Mechanical and Geometrical Properties Assessment of Thermoplastic Materials for Biomedical Application», en Lecture notes in mechanical engineering, 2016, pp. 437-446. doi: 10.1007/978-3-319-45781-9_44.</w:t>
      </w:r>
    </w:p>
    <w:p w:rsidR="00D93B54" w:rsidRDefault="00D93B54" w:rsidP="009A3385">
      <w:pPr>
        <w:pBdr>
          <w:top w:val="nil"/>
          <w:left w:val="nil"/>
          <w:bottom w:val="nil"/>
          <w:right w:val="nil"/>
          <w:between w:val="nil"/>
        </w:pBdr>
        <w:spacing w:after="0" w:line="240" w:lineRule="auto"/>
        <w:rPr>
          <w:rFonts w:ascii="Arial" w:hAnsi="Arial" w:cs="Arial"/>
          <w:color w:val="000000"/>
          <w:lang w:val="en-US"/>
        </w:rPr>
      </w:pPr>
    </w:p>
    <w:p w:rsidR="00D93B54" w:rsidRPr="00D93B54" w:rsidRDefault="00D93B54" w:rsidP="009A3385">
      <w:pPr>
        <w:pBdr>
          <w:top w:val="nil"/>
          <w:left w:val="nil"/>
          <w:bottom w:val="nil"/>
          <w:right w:val="nil"/>
          <w:between w:val="nil"/>
        </w:pBdr>
        <w:spacing w:after="0" w:line="240" w:lineRule="auto"/>
        <w:rPr>
          <w:rFonts w:ascii="Arial" w:hAnsi="Arial" w:cs="Arial"/>
          <w:color w:val="000000"/>
          <w:lang w:val="en-US"/>
        </w:rPr>
      </w:pPr>
      <w:r>
        <w:rPr>
          <w:rFonts w:ascii="Arial" w:hAnsi="Arial" w:cs="Arial"/>
          <w:color w:val="000000"/>
          <w:lang w:val="en-US"/>
        </w:rPr>
        <w:t xml:space="preserve">[17] </w:t>
      </w:r>
      <w:r>
        <w:rPr>
          <w:rFonts w:ascii="Arial" w:hAnsi="Arial" w:cs="Arial"/>
          <w:lang w:val="en-US"/>
        </w:rPr>
        <w:t>ASTM International, ASTM D882-02 o 12:</w:t>
      </w:r>
      <w:r w:rsidRPr="00D93B54">
        <w:rPr>
          <w:lang w:val="en-US"/>
        </w:rPr>
        <w:t xml:space="preserve"> </w:t>
      </w:r>
      <w:r w:rsidRPr="00D93B54">
        <w:rPr>
          <w:rFonts w:ascii="Arial" w:hAnsi="Arial" w:cs="Arial"/>
          <w:lang w:val="en-US"/>
        </w:rPr>
        <w:t>Standard Test Method for Tensile Properties of Thin Plastic Sheeting</w:t>
      </w:r>
      <w:r>
        <w:rPr>
          <w:rFonts w:ascii="Arial" w:hAnsi="Arial" w:cs="Arial"/>
          <w:lang w:val="en-US"/>
        </w:rPr>
        <w:t>, ASTM, n/a</w:t>
      </w:r>
    </w:p>
    <w:p w:rsidR="009A3385" w:rsidRPr="009A3385" w:rsidRDefault="00D56B36" w:rsidP="009A3385">
      <w:pPr>
        <w:pBdr>
          <w:top w:val="nil"/>
          <w:left w:val="nil"/>
          <w:bottom w:val="nil"/>
          <w:right w:val="nil"/>
          <w:between w:val="nil"/>
        </w:pBdr>
        <w:spacing w:after="0" w:line="240" w:lineRule="auto"/>
        <w:jc w:val="both"/>
        <w:rPr>
          <w:rFonts w:ascii="Arial" w:eastAsia="Arial" w:hAnsi="Arial" w:cs="Arial"/>
          <w:i/>
          <w:color w:val="000000" w:themeColor="text1"/>
          <w:szCs w:val="20"/>
          <w:lang w:val="en-US"/>
        </w:rPr>
      </w:pPr>
      <w:r>
        <w:rPr>
          <w:rFonts w:ascii="Arial" w:eastAsia="Arial" w:hAnsi="Arial" w:cs="Arial"/>
          <w:i/>
          <w:color w:val="000000" w:themeColor="text1"/>
          <w:szCs w:val="20"/>
          <w:lang w:val="en-US"/>
        </w:rPr>
        <w:br/>
        <w:t>2hx17 x</w:t>
      </w:r>
      <w:r w:rsidRPr="00D93B54">
        <w:rPr>
          <w:rFonts w:ascii="Arial" w:hAnsi="Arial" w:cs="Arial"/>
          <w:color w:val="E3E3E3"/>
          <w:sz w:val="21"/>
          <w:szCs w:val="21"/>
          <w:shd w:val="clear" w:color="auto" w:fill="303030"/>
          <w:lang w:val="en-US"/>
        </w:rPr>
        <w:t xml:space="preserve"> 91.940</w:t>
      </w:r>
    </w:p>
    <w:sectPr w:rsidR="009A3385" w:rsidRPr="009A338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171" w:rsidRDefault="00A76171" w:rsidP="00B95040">
      <w:pPr>
        <w:spacing w:after="0" w:line="240" w:lineRule="auto"/>
      </w:pPr>
      <w:r>
        <w:separator/>
      </w:r>
    </w:p>
  </w:endnote>
  <w:endnote w:type="continuationSeparator" w:id="0">
    <w:p w:rsidR="00A76171" w:rsidRDefault="00A76171" w:rsidP="00B95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171" w:rsidRDefault="00A76171" w:rsidP="00B95040">
      <w:pPr>
        <w:spacing w:after="0" w:line="240" w:lineRule="auto"/>
      </w:pPr>
      <w:r>
        <w:separator/>
      </w:r>
    </w:p>
  </w:footnote>
  <w:footnote w:type="continuationSeparator" w:id="0">
    <w:p w:rsidR="00A76171" w:rsidRDefault="00A76171" w:rsidP="00B95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F7398"/>
    <w:multiLevelType w:val="hybridMultilevel"/>
    <w:tmpl w:val="DC4858E0"/>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605D1F12"/>
    <w:multiLevelType w:val="multilevel"/>
    <w:tmpl w:val="482E6E3C"/>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6FDF1C22"/>
    <w:multiLevelType w:val="multilevel"/>
    <w:tmpl w:val="D55CAE78"/>
    <w:lvl w:ilvl="0">
      <w:start w:val="1"/>
      <w:numFmt w:val="decimal"/>
      <w:lvlText w:val="%1."/>
      <w:lvlJc w:val="left"/>
      <w:pPr>
        <w:ind w:left="360" w:hanging="360"/>
      </w:pPr>
      <w:rPr>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ADD"/>
    <w:rsid w:val="001049BD"/>
    <w:rsid w:val="001508D4"/>
    <w:rsid w:val="00183791"/>
    <w:rsid w:val="00413C02"/>
    <w:rsid w:val="00455E95"/>
    <w:rsid w:val="00471309"/>
    <w:rsid w:val="005C24EA"/>
    <w:rsid w:val="005E7F5C"/>
    <w:rsid w:val="005F0E04"/>
    <w:rsid w:val="005F3BEB"/>
    <w:rsid w:val="00622D21"/>
    <w:rsid w:val="006A0E7F"/>
    <w:rsid w:val="006D00CC"/>
    <w:rsid w:val="00757230"/>
    <w:rsid w:val="00764AF4"/>
    <w:rsid w:val="008161A7"/>
    <w:rsid w:val="008318DE"/>
    <w:rsid w:val="00884732"/>
    <w:rsid w:val="008D4ADD"/>
    <w:rsid w:val="00915FF7"/>
    <w:rsid w:val="009374F2"/>
    <w:rsid w:val="009A3385"/>
    <w:rsid w:val="00A71DA5"/>
    <w:rsid w:val="00A76171"/>
    <w:rsid w:val="00AF6D9E"/>
    <w:rsid w:val="00B35672"/>
    <w:rsid w:val="00B7393A"/>
    <w:rsid w:val="00B95040"/>
    <w:rsid w:val="00BF0B02"/>
    <w:rsid w:val="00C86B12"/>
    <w:rsid w:val="00CA5CCC"/>
    <w:rsid w:val="00CB4246"/>
    <w:rsid w:val="00D11840"/>
    <w:rsid w:val="00D56B36"/>
    <w:rsid w:val="00D93B54"/>
    <w:rsid w:val="00DB48DE"/>
    <w:rsid w:val="00EB6E1F"/>
    <w:rsid w:val="00ED5E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6C3B"/>
  <w15:docId w15:val="{1528D005-F387-47DE-B12C-00BF6E36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inespaciado">
    <w:name w:val="No Spacing"/>
    <w:uiPriority w:val="1"/>
    <w:qFormat/>
    <w:rsid w:val="00540A32"/>
    <w:pPr>
      <w:spacing w:after="0" w:line="240" w:lineRule="auto"/>
    </w:pPr>
    <w:rPr>
      <w:rFonts w:cs="Times New Roman"/>
    </w:rPr>
  </w:style>
  <w:style w:type="paragraph" w:styleId="Prrafodelista">
    <w:name w:val="List Paragraph"/>
    <w:basedOn w:val="Normal"/>
    <w:uiPriority w:val="34"/>
    <w:qFormat/>
    <w:rsid w:val="00CA55AD"/>
    <w:pPr>
      <w:ind w:left="720"/>
      <w:contextualSpacing/>
    </w:pPr>
  </w:style>
  <w:style w:type="table" w:styleId="Tablaconcuadrcula">
    <w:name w:val="Table Grid"/>
    <w:basedOn w:val="Tablanormal"/>
    <w:uiPriority w:val="39"/>
    <w:rsid w:val="00AF5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semiHidden/>
    <w:unhideWhenUsed/>
    <w:rsid w:val="002605A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605AD"/>
    <w:rPr>
      <w:sz w:val="20"/>
      <w:szCs w:val="20"/>
    </w:rPr>
  </w:style>
  <w:style w:type="character" w:styleId="Refdenotaalpie">
    <w:name w:val="footnote reference"/>
    <w:basedOn w:val="Fuentedeprrafopredeter"/>
    <w:semiHidden/>
    <w:unhideWhenUsed/>
    <w:rsid w:val="002605AD"/>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BorrarComentarios">
    <w:name w:val="BorrarComentarios"/>
    <w:basedOn w:val="Normal"/>
    <w:link w:val="BorrarComentariosCar"/>
    <w:qFormat/>
    <w:rsid w:val="00B95040"/>
    <w:pPr>
      <w:spacing w:after="240" w:line="240" w:lineRule="auto"/>
      <w:jc w:val="both"/>
    </w:pPr>
    <w:rPr>
      <w:rFonts w:ascii="Arial" w:hAnsi="Arial" w:cs="Times New Roman"/>
      <w:color w:val="0000FF"/>
      <w:sz w:val="24"/>
      <w:lang w:eastAsia="en-US"/>
    </w:rPr>
  </w:style>
  <w:style w:type="character" w:styleId="Hipervnculo">
    <w:name w:val="Hyperlink"/>
    <w:uiPriority w:val="99"/>
    <w:unhideWhenUsed/>
    <w:rsid w:val="00B95040"/>
    <w:rPr>
      <w:color w:val="0000FF"/>
      <w:u w:val="single"/>
    </w:rPr>
  </w:style>
  <w:style w:type="character" w:customStyle="1" w:styleId="BorrarComentariosCar">
    <w:name w:val="BorrarComentarios Car"/>
    <w:link w:val="BorrarComentarios"/>
    <w:rsid w:val="00B95040"/>
    <w:rPr>
      <w:rFonts w:ascii="Arial" w:hAnsi="Arial" w:cs="Times New Roman"/>
      <w:color w:val="0000FF"/>
      <w:sz w:val="24"/>
      <w:lang w:eastAsia="en-US"/>
    </w:rPr>
  </w:style>
  <w:style w:type="paragraph" w:styleId="NormalWeb">
    <w:name w:val="Normal (Web)"/>
    <w:basedOn w:val="Normal"/>
    <w:uiPriority w:val="99"/>
    <w:semiHidden/>
    <w:unhideWhenUsed/>
    <w:rsid w:val="006A0E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596774">
      <w:bodyDiv w:val="1"/>
      <w:marLeft w:val="0"/>
      <w:marRight w:val="0"/>
      <w:marTop w:val="0"/>
      <w:marBottom w:val="0"/>
      <w:divBdr>
        <w:top w:val="none" w:sz="0" w:space="0" w:color="auto"/>
        <w:left w:val="none" w:sz="0" w:space="0" w:color="auto"/>
        <w:bottom w:val="none" w:sz="0" w:space="0" w:color="auto"/>
        <w:right w:val="none" w:sz="0" w:space="0" w:color="auto"/>
      </w:divBdr>
      <w:divsChild>
        <w:div w:id="767887208">
          <w:marLeft w:val="-720"/>
          <w:marRight w:val="0"/>
          <w:marTop w:val="0"/>
          <w:marBottom w:val="0"/>
          <w:divBdr>
            <w:top w:val="none" w:sz="0" w:space="0" w:color="auto"/>
            <w:left w:val="none" w:sz="0" w:space="0" w:color="auto"/>
            <w:bottom w:val="none" w:sz="0" w:space="0" w:color="auto"/>
            <w:right w:val="none" w:sz="0" w:space="0" w:color="auto"/>
          </w:divBdr>
        </w:div>
      </w:divsChild>
    </w:div>
    <w:div w:id="732433895">
      <w:bodyDiv w:val="1"/>
      <w:marLeft w:val="0"/>
      <w:marRight w:val="0"/>
      <w:marTop w:val="0"/>
      <w:marBottom w:val="0"/>
      <w:divBdr>
        <w:top w:val="none" w:sz="0" w:space="0" w:color="auto"/>
        <w:left w:val="none" w:sz="0" w:space="0" w:color="auto"/>
        <w:bottom w:val="none" w:sz="0" w:space="0" w:color="auto"/>
        <w:right w:val="none" w:sz="0" w:space="0" w:color="auto"/>
      </w:divBdr>
    </w:div>
    <w:div w:id="1286885082">
      <w:bodyDiv w:val="1"/>
      <w:marLeft w:val="0"/>
      <w:marRight w:val="0"/>
      <w:marTop w:val="0"/>
      <w:marBottom w:val="0"/>
      <w:divBdr>
        <w:top w:val="none" w:sz="0" w:space="0" w:color="auto"/>
        <w:left w:val="none" w:sz="0" w:space="0" w:color="auto"/>
        <w:bottom w:val="none" w:sz="0" w:space="0" w:color="auto"/>
        <w:right w:val="none" w:sz="0" w:space="0" w:color="auto"/>
      </w:divBdr>
    </w:div>
    <w:div w:id="1443723019">
      <w:bodyDiv w:val="1"/>
      <w:marLeft w:val="0"/>
      <w:marRight w:val="0"/>
      <w:marTop w:val="0"/>
      <w:marBottom w:val="0"/>
      <w:divBdr>
        <w:top w:val="none" w:sz="0" w:space="0" w:color="auto"/>
        <w:left w:val="none" w:sz="0" w:space="0" w:color="auto"/>
        <w:bottom w:val="none" w:sz="0" w:space="0" w:color="auto"/>
        <w:right w:val="none" w:sz="0" w:space="0" w:color="auto"/>
      </w:divBdr>
      <w:divsChild>
        <w:div w:id="984892393">
          <w:marLeft w:val="-720"/>
          <w:marRight w:val="0"/>
          <w:marTop w:val="0"/>
          <w:marBottom w:val="0"/>
          <w:divBdr>
            <w:top w:val="none" w:sz="0" w:space="0" w:color="auto"/>
            <w:left w:val="none" w:sz="0" w:space="0" w:color="auto"/>
            <w:bottom w:val="none" w:sz="0" w:space="0" w:color="auto"/>
            <w:right w:val="none" w:sz="0" w:space="0" w:color="auto"/>
          </w:divBdr>
        </w:div>
      </w:divsChild>
    </w:div>
    <w:div w:id="1829789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tm.org/Standards/D638.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hzYnhPd+1znaEZwvwzs7AIUX3w==">AMUW2mUgjy/RMt5jFKKg0qDwj97440ghZw9VWAQxWamVETo4ru8X10K5uSnDJI/TnNyl9nQxInTUvqd56nkcEx4CCyZ9AbrAwj8pWrh1GlSyIrSuRTKjmHebQGbCmMFBqMCKgjlSxDP4DQo8jOkvEtkz0lWD0+75dHWNaZaZBf/PJRxRWTRiWj29WP6PB/BvQoFzFe5kupgRbNPu6vIK8k83bFam/YCYOA==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5</Pages>
  <Words>1837</Words>
  <Characters>10473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Lyda Peña Paz</dc:creator>
  <cp:lastModifiedBy>CAMILO OSORIO CIFUENTES</cp:lastModifiedBy>
  <cp:revision>12</cp:revision>
  <dcterms:created xsi:type="dcterms:W3CDTF">2023-02-15T19:32:00Z</dcterms:created>
  <dcterms:modified xsi:type="dcterms:W3CDTF">2026-04-02T23:56:00Z</dcterms:modified>
</cp:coreProperties>
</file>