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9E14" w14:textId="77777777" w:rsidR="008D4ADD" w:rsidRPr="00DB48DE" w:rsidRDefault="00CA5CCC" w:rsidP="006E7A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>Evaluación comparativa de la estabilidad mecánica en alineadores de PET-G y PU-Copolímero, en procesos post termoformado y sometimiento a condiciones intraorales</w:t>
      </w:r>
    </w:p>
    <w:p w14:paraId="4C0A29E6" w14:textId="77777777" w:rsidR="008D4ADD" w:rsidRPr="00DB48DE" w:rsidRDefault="008D4ADD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3CF64515" w14:textId="77777777" w:rsidR="00B7393A" w:rsidRPr="00DB48DE" w:rsidRDefault="00B7393A" w:rsidP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b/>
          <w:color w:val="000000"/>
        </w:rPr>
      </w:pPr>
    </w:p>
    <w:p w14:paraId="4EC4F904" w14:textId="77777777" w:rsidR="008D4ADD" w:rsidRPr="00DB48DE" w:rsidRDefault="00CA5CCC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Camilo Osorio Cifuentes 2220623</w:t>
      </w:r>
    </w:p>
    <w:p w14:paraId="7591E5BE" w14:textId="77777777" w:rsidR="00CA5CCC" w:rsidRPr="00DB48DE" w:rsidRDefault="00CA5CCC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Nelson Steven Santos Gonzales 2176172</w:t>
      </w:r>
    </w:p>
    <w:p w14:paraId="79279B50" w14:textId="77777777" w:rsidR="00BF0B02" w:rsidRPr="00DB48DE" w:rsidRDefault="00BF0B02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</w:p>
    <w:p w14:paraId="7F7E3E79" w14:textId="77777777" w:rsidR="008D4ADD" w:rsidRPr="00DB48DE" w:rsidRDefault="00CA5CCC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Oscar </w:t>
      </w:r>
      <w:proofErr w:type="spellStart"/>
      <w:r w:rsidRPr="00DB48DE">
        <w:rPr>
          <w:rFonts w:ascii="Arial" w:hAnsi="Arial" w:cs="Arial"/>
          <w:color w:val="000000"/>
        </w:rPr>
        <w:t>Ivan</w:t>
      </w:r>
      <w:proofErr w:type="spellEnd"/>
      <w:r w:rsidRPr="00DB48DE">
        <w:rPr>
          <w:rFonts w:ascii="Arial" w:hAnsi="Arial" w:cs="Arial"/>
          <w:color w:val="000000"/>
        </w:rPr>
        <w:t xml:space="preserve"> Campo Salazar </w:t>
      </w:r>
      <w:r w:rsidR="00BF0B02" w:rsidRPr="00DB48DE">
        <w:rPr>
          <w:rFonts w:ascii="Arial" w:hAnsi="Arial" w:cs="Arial"/>
          <w:color w:val="000000"/>
        </w:rPr>
        <w:t>(</w:t>
      </w:r>
      <w:proofErr w:type="gramStart"/>
      <w:r w:rsidR="00BF0B02" w:rsidRPr="00DB48DE">
        <w:rPr>
          <w:rFonts w:ascii="Arial" w:hAnsi="Arial" w:cs="Arial"/>
          <w:color w:val="000000"/>
        </w:rPr>
        <w:t>Director</w:t>
      </w:r>
      <w:proofErr w:type="gramEnd"/>
      <w:r w:rsidR="00BF0B02" w:rsidRPr="00DB48DE">
        <w:rPr>
          <w:rFonts w:ascii="Arial" w:hAnsi="Arial" w:cs="Arial"/>
          <w:color w:val="000000"/>
        </w:rPr>
        <w:t xml:space="preserve"> académico)</w:t>
      </w:r>
    </w:p>
    <w:p w14:paraId="292FB63F" w14:textId="77777777" w:rsidR="008D4ADD" w:rsidRPr="00DB48DE" w:rsidRDefault="00CA5CCC" w:rsidP="00DB4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Cristian Orlando Diaz Laverde </w:t>
      </w:r>
      <w:r w:rsidR="00DB48DE" w:rsidRPr="00DB48DE">
        <w:rPr>
          <w:rFonts w:ascii="Arial" w:hAnsi="Arial" w:cs="Arial"/>
          <w:color w:val="000000"/>
        </w:rPr>
        <w:t>(Asesor empresarial)</w:t>
      </w:r>
    </w:p>
    <w:p w14:paraId="266F6654" w14:textId="77777777" w:rsidR="00B7393A" w:rsidRPr="00DB48DE" w:rsidRDefault="00B7393A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color w:val="000000"/>
        </w:rPr>
      </w:pPr>
    </w:p>
    <w:p w14:paraId="1AB57D62" w14:textId="77777777" w:rsidR="00B7393A" w:rsidRPr="00DB48DE" w:rsidRDefault="00B7393A" w:rsidP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i/>
          <w:color w:val="000000"/>
        </w:rPr>
      </w:pPr>
    </w:p>
    <w:p w14:paraId="3F97DC69" w14:textId="77777777" w:rsidR="008D4ADD" w:rsidRPr="00DB48DE" w:rsidRDefault="00183791" w:rsidP="00BF0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right"/>
        <w:rPr>
          <w:rFonts w:ascii="Arial" w:hAnsi="Arial" w:cs="Arial"/>
          <w:i/>
          <w:color w:val="000000"/>
        </w:rPr>
      </w:pPr>
      <w:r w:rsidRPr="00DB48DE">
        <w:rPr>
          <w:rFonts w:ascii="Arial" w:hAnsi="Arial" w:cs="Arial"/>
          <w:i/>
          <w:color w:val="000000"/>
        </w:rPr>
        <w:t>Proyecto de Grado</w:t>
      </w:r>
    </w:p>
    <w:p w14:paraId="3FEF90BF" w14:textId="77777777" w:rsidR="00B7393A" w:rsidRPr="00DB48DE" w:rsidRDefault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6490B8BD" w14:textId="77777777" w:rsidR="00B7393A" w:rsidRPr="00DB48DE" w:rsidRDefault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1F0C2432" w14:textId="77777777" w:rsidR="008D4ADD" w:rsidRPr="00DB48DE" w:rsidRDefault="00183791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i/>
          <w:color w:val="000000"/>
        </w:rPr>
      </w:pPr>
      <w:r w:rsidRPr="00DB48DE">
        <w:rPr>
          <w:rFonts w:ascii="Arial" w:hAnsi="Arial" w:cs="Arial"/>
          <w:b/>
          <w:color w:val="000000"/>
        </w:rPr>
        <w:t xml:space="preserve">PLANTEAMIENTO DEL </w:t>
      </w:r>
      <w:r w:rsidR="009A3385" w:rsidRPr="00DB48DE">
        <w:rPr>
          <w:rFonts w:ascii="Arial" w:hAnsi="Arial" w:cs="Arial"/>
          <w:b/>
          <w:color w:val="000000"/>
        </w:rPr>
        <w:t xml:space="preserve">PROBLEMA </w:t>
      </w:r>
      <w:r w:rsidRPr="00DB48DE">
        <w:rPr>
          <w:rFonts w:ascii="Arial" w:hAnsi="Arial" w:cs="Arial"/>
          <w:i/>
          <w:color w:val="000000"/>
        </w:rPr>
        <w:t xml:space="preserve"> </w:t>
      </w:r>
    </w:p>
    <w:p w14:paraId="2FD55D78" w14:textId="77777777" w:rsidR="00B7393A" w:rsidRPr="00DB48DE" w:rsidRDefault="00B7393A" w:rsidP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b/>
          <w:i/>
          <w:color w:val="000000"/>
        </w:rPr>
      </w:pPr>
    </w:p>
    <w:p w14:paraId="276F8D20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En los tratamientos de ortodoncia invisible, el movimiento dental depende de la interacción biomecánica entre el diente y el alineador, la cual está directamente influenciada por la acción biológica del diente sobre los tejidos periodontales y las propiedades mecánicas del material</w:t>
      </w:r>
      <w:r w:rsidR="009A3385" w:rsidRPr="00DB48DE">
        <w:rPr>
          <w:rFonts w:ascii="Arial" w:hAnsi="Arial" w:cs="Arial"/>
          <w:color w:val="000000"/>
        </w:rPr>
        <w:t xml:space="preserve"> termoplástico que lo recubre [8], [9</w:t>
      </w:r>
      <w:r w:rsidRPr="00DB48DE">
        <w:rPr>
          <w:rFonts w:ascii="Arial" w:hAnsi="Arial" w:cs="Arial"/>
          <w:color w:val="000000"/>
        </w:rPr>
        <w:t xml:space="preserve">]. En este contexto, los alineadores fabricados por termoformado a partir de láminas poliméricas —ya sean monocapa o </w:t>
      </w:r>
      <w:proofErr w:type="spellStart"/>
      <w:r w:rsidRPr="00DB48DE">
        <w:rPr>
          <w:rFonts w:ascii="Arial" w:hAnsi="Arial" w:cs="Arial"/>
          <w:color w:val="000000"/>
        </w:rPr>
        <w:t>tricapa</w:t>
      </w:r>
      <w:proofErr w:type="spellEnd"/>
      <w:r w:rsidRPr="00DB48DE">
        <w:rPr>
          <w:rFonts w:ascii="Arial" w:hAnsi="Arial" w:cs="Arial"/>
          <w:color w:val="000000"/>
        </w:rPr>
        <w:t>— deben ser capaces de transmitir fuerzas controladas y sostenidas para inducir desplazamientos precisos, como la torsión dental (rotación del diente alre</w:t>
      </w:r>
      <w:r w:rsidR="009A3385" w:rsidRPr="00DB48DE">
        <w:rPr>
          <w:rFonts w:ascii="Arial" w:hAnsi="Arial" w:cs="Arial"/>
          <w:color w:val="000000"/>
        </w:rPr>
        <w:t>dedor de su eje longitudinal) [10</w:t>
      </w:r>
      <w:r w:rsidRPr="00DB48DE">
        <w:rPr>
          <w:rFonts w:ascii="Arial" w:hAnsi="Arial" w:cs="Arial"/>
          <w:color w:val="000000"/>
        </w:rPr>
        <w:t>].</w:t>
      </w:r>
    </w:p>
    <w:p w14:paraId="7D85D7DE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Sin embargo, esta acción biomecánica se enfrenta a limitaciones críticas.</w:t>
      </w:r>
    </w:p>
    <w:p w14:paraId="12B75849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 Por un lado, las propiedades iniciales del material termoformado (módulo elástico, límite de fluencia, espesor de la lámina y grado de adaptación al modelo dental) determinan su capacidad para ejercer las fuerzas requeridas </w:t>
      </w:r>
      <w:r w:rsidR="009A3385" w:rsidRPr="00DB48DE">
        <w:rPr>
          <w:rFonts w:ascii="Arial" w:hAnsi="Arial" w:cs="Arial"/>
          <w:color w:val="000000"/>
        </w:rPr>
        <w:t>sin deformarse plásticamente [11</w:t>
      </w:r>
      <w:r w:rsidRPr="00DB48DE">
        <w:rPr>
          <w:rFonts w:ascii="Arial" w:hAnsi="Arial" w:cs="Arial"/>
          <w:color w:val="000000"/>
        </w:rPr>
        <w:t>].</w:t>
      </w:r>
    </w:p>
    <w:p w14:paraId="1EC2AD15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 Por otro, la acción biológica del entorno intraoral —caracterizada por variaciones térmicas, humedad constante, exposición a fuerzas repetidas de inserción y retiro, y reacciones enzimáticas o químicas de la saliva— puede alterar esas propiedades, reduciendo la rigidez, modificando el espesor efectivo o disminuyendo la resistencia a la torsión</w:t>
      </w:r>
      <w:r w:rsidR="009A3385" w:rsidRPr="00DB48DE">
        <w:rPr>
          <w:rFonts w:ascii="Arial" w:hAnsi="Arial" w:cs="Arial"/>
          <w:color w:val="000000"/>
        </w:rPr>
        <w:t xml:space="preserve"> del alineador con el tiempo [12], [13</w:t>
      </w:r>
      <w:r w:rsidRPr="00DB48DE">
        <w:rPr>
          <w:rFonts w:ascii="Arial" w:hAnsi="Arial" w:cs="Arial"/>
          <w:color w:val="000000"/>
        </w:rPr>
        <w:t>].</w:t>
      </w:r>
    </w:p>
    <w:p w14:paraId="2D76B9D3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Este fenómeno afecta de manera distinta a los alineadores monocapa y </w:t>
      </w:r>
      <w:proofErr w:type="spellStart"/>
      <w:r w:rsidRPr="00DB48DE">
        <w:rPr>
          <w:rFonts w:ascii="Arial" w:hAnsi="Arial" w:cs="Arial"/>
          <w:color w:val="000000"/>
        </w:rPr>
        <w:t>tricapa</w:t>
      </w:r>
      <w:proofErr w:type="spellEnd"/>
      <w:r w:rsidRPr="00DB48DE">
        <w:rPr>
          <w:rFonts w:ascii="Arial" w:hAnsi="Arial" w:cs="Arial"/>
          <w:color w:val="000000"/>
        </w:rPr>
        <w:t>, debido a su diferente estructura y comportamiento mecánico</w:t>
      </w:r>
      <w:r w:rsidR="009A3385" w:rsidRPr="00DB48DE">
        <w:rPr>
          <w:rFonts w:ascii="Arial" w:hAnsi="Arial" w:cs="Arial"/>
          <w:color w:val="000000"/>
        </w:rPr>
        <w:t xml:space="preserve"> frente a esfuerzos cíclicos [14</w:t>
      </w:r>
      <w:r w:rsidRPr="00DB48DE">
        <w:rPr>
          <w:rFonts w:ascii="Arial" w:hAnsi="Arial" w:cs="Arial"/>
          <w:color w:val="000000"/>
        </w:rPr>
        <w:t>]. En consecuencia, pueden presentarse discrepancias entre el movimiento dental planificado digitalmente y el realmente alcanzado, generando ineficiencias en el tratamiento, mayor número de alineadores requeridos y una prolongación inn</w:t>
      </w:r>
      <w:r w:rsidR="009A3385" w:rsidRPr="00DB48DE">
        <w:rPr>
          <w:rFonts w:ascii="Arial" w:hAnsi="Arial" w:cs="Arial"/>
          <w:color w:val="000000"/>
        </w:rPr>
        <w:t>ecesaria del proceso clínico [15</w:t>
      </w:r>
      <w:r w:rsidRPr="00DB48DE">
        <w:rPr>
          <w:rFonts w:ascii="Arial" w:hAnsi="Arial" w:cs="Arial"/>
          <w:color w:val="000000"/>
        </w:rPr>
        <w:t>].</w:t>
      </w:r>
    </w:p>
    <w:p w14:paraId="3EC39A29" w14:textId="777BD41D" w:rsidR="008D4ADD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 xml:space="preserve">Por lo tanto, es necesario analizar cómo los cambios en la posición del diente durante el </w:t>
      </w:r>
      <w:r w:rsidR="006E7A28" w:rsidRPr="00DB48DE">
        <w:rPr>
          <w:rFonts w:ascii="Arial" w:hAnsi="Arial" w:cs="Arial"/>
          <w:color w:val="000000"/>
        </w:rPr>
        <w:t>tratamiento</w:t>
      </w:r>
      <w:r w:rsidRPr="00DB48DE">
        <w:rPr>
          <w:rFonts w:ascii="Arial" w:hAnsi="Arial" w:cs="Arial"/>
          <w:color w:val="000000"/>
        </w:rPr>
        <w:t xml:space="preserve"> afectan las propiedades biomecánicas del material termoformado. Es necesario comparar el desempeño de los alineadores monocapa y </w:t>
      </w:r>
      <w:proofErr w:type="spellStart"/>
      <w:r w:rsidRPr="00DB48DE">
        <w:rPr>
          <w:rFonts w:ascii="Arial" w:hAnsi="Arial" w:cs="Arial"/>
          <w:color w:val="000000"/>
        </w:rPr>
        <w:t>tricapa</w:t>
      </w:r>
      <w:proofErr w:type="spellEnd"/>
      <w:r w:rsidRPr="00DB48DE">
        <w:rPr>
          <w:rFonts w:ascii="Arial" w:hAnsi="Arial" w:cs="Arial"/>
          <w:color w:val="000000"/>
        </w:rPr>
        <w:t xml:space="preserve"> frente a esfuerzos físico-mecánico y condiciones de uso prolongado, con el fin de determinar si el material mantiene su forma o tiende a volverse maleable con el tiempo</w:t>
      </w:r>
    </w:p>
    <w:p w14:paraId="70FDEDCF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</w:p>
    <w:p w14:paraId="4CBE01E7" w14:textId="4D1DAA97" w:rsidR="008D4ADD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  <w:color w:val="000000"/>
        </w:rPr>
      </w:pPr>
      <w:r w:rsidRPr="00DB48DE">
        <w:rPr>
          <w:rFonts w:ascii="Arial" w:hAnsi="Arial" w:cs="Arial"/>
          <w:b/>
          <w:color w:val="000000"/>
        </w:rPr>
        <w:t xml:space="preserve">JUSTIFICACIÓN </w:t>
      </w:r>
    </w:p>
    <w:p w14:paraId="305BDBF4" w14:textId="77777777" w:rsidR="00B7393A" w:rsidRPr="00DB48DE" w:rsidRDefault="00B7393A" w:rsidP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i/>
          <w:color w:val="000000"/>
        </w:rPr>
      </w:pPr>
    </w:p>
    <w:p w14:paraId="4F11DBBC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 w:rsidRPr="00DB48DE">
        <w:rPr>
          <w:rFonts w:ascii="Arial" w:hAnsi="Arial" w:cs="Arial"/>
        </w:rPr>
        <w:t xml:space="preserve">La ortodoncia invisible con alineadores ha revolucionado el campo de la odontología estética y correctiva, </w:t>
      </w:r>
      <w:r w:rsidR="00C86B12">
        <w:rPr>
          <w:rFonts w:ascii="Arial" w:hAnsi="Arial" w:cs="Arial"/>
        </w:rPr>
        <w:t xml:space="preserve">donde </w:t>
      </w:r>
      <w:r w:rsidRPr="00DB48DE">
        <w:rPr>
          <w:rFonts w:ascii="Arial" w:hAnsi="Arial" w:cs="Arial"/>
        </w:rPr>
        <w:t xml:space="preserve">la eficacia de estos tratamientos se sustenta en un principio fundamental: la capacidad de cada alineador para ejercer y mantener fuerzas ortodónticas controladas y predecibles a lo largo de su uso. Es en este principio donde, se identifica una brecha crítica entre el diseño teórico y el desempeño in vivo del dispositivo </w:t>
      </w:r>
      <w:r w:rsidR="00DB48DE" w:rsidRPr="00DB48DE">
        <w:rPr>
          <w:rFonts w:ascii="Arial" w:hAnsi="Arial" w:cs="Arial"/>
        </w:rPr>
        <w:t>médico. [</w:t>
      </w:r>
      <w:r w:rsidRPr="00DB48DE">
        <w:rPr>
          <w:rFonts w:ascii="Arial" w:hAnsi="Arial" w:cs="Arial"/>
        </w:rPr>
        <w:t>1</w:t>
      </w:r>
      <w:r w:rsidR="009A3385" w:rsidRPr="00DB48DE">
        <w:rPr>
          <w:rFonts w:ascii="Arial" w:hAnsi="Arial" w:cs="Arial"/>
        </w:rPr>
        <w:t>6</w:t>
      </w:r>
      <w:r w:rsidRPr="00DB48DE">
        <w:rPr>
          <w:rFonts w:ascii="Arial" w:hAnsi="Arial" w:cs="Arial"/>
        </w:rPr>
        <w:t>].</w:t>
      </w:r>
    </w:p>
    <w:p w14:paraId="7B2788B2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36B406DB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 w:rsidRPr="00DB48DE">
        <w:rPr>
          <w:rFonts w:ascii="Arial" w:hAnsi="Arial" w:cs="Arial"/>
        </w:rPr>
        <w:t xml:space="preserve">Por lo tanto, este estudio se justifica en la necesidad urgente de cuantificar la degradación biomecánica de los alineadores. Al caracterizar rigurosamente las propiedades pre y </w:t>
      </w:r>
      <w:proofErr w:type="spellStart"/>
      <w:r w:rsidRPr="00DB48DE">
        <w:rPr>
          <w:rFonts w:ascii="Arial" w:hAnsi="Arial" w:cs="Arial"/>
        </w:rPr>
        <w:t>post-termoformación</w:t>
      </w:r>
      <w:proofErr w:type="spellEnd"/>
      <w:r w:rsidRPr="00DB48DE">
        <w:rPr>
          <w:rFonts w:ascii="Arial" w:hAnsi="Arial" w:cs="Arial"/>
        </w:rPr>
        <w:t>, y deformación plástica bajo condiciones simuladas de uso, este proyecto de ingeniería biomédica busca generar datos cuantitativos y criterios de selección basados en evidencia. Los resultados permitirán:</w:t>
      </w:r>
    </w:p>
    <w:p w14:paraId="3377D281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16D37BA1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4A3A7E05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 w:rsidRPr="00DB48DE">
        <w:rPr>
          <w:rFonts w:ascii="Arial" w:hAnsi="Arial" w:cs="Arial"/>
        </w:rPr>
        <w:t>•</w:t>
      </w:r>
      <w:r w:rsidRPr="00DB48DE">
        <w:rPr>
          <w:rFonts w:ascii="Arial" w:hAnsi="Arial" w:cs="Arial"/>
        </w:rPr>
        <w:tab/>
        <w:t>Validar Protocolos de Uso: Establecer los límites operativos de tiempo y activación para diferentes marcas y espesores, con el fin de maximizar la eficiencia de la fuerza aplicada y minimizar la pérdida de efectividad clínica.</w:t>
      </w:r>
    </w:p>
    <w:p w14:paraId="410157F0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6B976F05" w14:textId="77777777" w:rsidR="00CA5CCC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</w:p>
    <w:p w14:paraId="2B8B150B" w14:textId="77777777" w:rsidR="008D4ADD" w:rsidRPr="00DB48DE" w:rsidRDefault="00CA5CCC" w:rsidP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 w:rsidRPr="00DB48DE">
        <w:rPr>
          <w:rFonts w:ascii="Arial" w:hAnsi="Arial" w:cs="Arial"/>
        </w:rPr>
        <w:t>•</w:t>
      </w:r>
      <w:r w:rsidRPr="00DB48DE">
        <w:rPr>
          <w:rFonts w:ascii="Arial" w:hAnsi="Arial" w:cs="Arial"/>
        </w:rPr>
        <w:tab/>
        <w:t xml:space="preserve">Mejorar la Planificación Clínica: Dotar a los ortodoncistas de información para seleccionar el tipo de alineador (monocapa vs. </w:t>
      </w:r>
      <w:proofErr w:type="spellStart"/>
      <w:r w:rsidRPr="00DB48DE">
        <w:rPr>
          <w:rFonts w:ascii="Arial" w:hAnsi="Arial" w:cs="Arial"/>
        </w:rPr>
        <w:t>tricapa</w:t>
      </w:r>
      <w:proofErr w:type="spellEnd"/>
      <w:r w:rsidRPr="00DB48DE">
        <w:rPr>
          <w:rFonts w:ascii="Arial" w:hAnsi="Arial" w:cs="Arial"/>
        </w:rPr>
        <w:t>), espesor y protocolo de activación más adecuado para cada caso, minimizando las desviaciones del plan de tratamiento.</w:t>
      </w:r>
    </w:p>
    <w:p w14:paraId="11B31526" w14:textId="77777777" w:rsidR="008D4ADD" w:rsidRPr="00DB48DE" w:rsidRDefault="008D4A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</w:rPr>
      </w:pPr>
    </w:p>
    <w:p w14:paraId="1E3F1797" w14:textId="77777777" w:rsidR="008D4ADD" w:rsidRPr="00DB48DE" w:rsidRDefault="005C24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>Objetivo g</w:t>
      </w:r>
      <w:r w:rsidR="00183791" w:rsidRPr="00DB48DE">
        <w:rPr>
          <w:rFonts w:ascii="Arial" w:hAnsi="Arial" w:cs="Arial"/>
          <w:b/>
          <w:color w:val="000000"/>
        </w:rPr>
        <w:t>eneral</w:t>
      </w:r>
    </w:p>
    <w:p w14:paraId="7578CBF3" w14:textId="77777777" w:rsidR="00CA5CCC" w:rsidRPr="00DB48DE" w:rsidRDefault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36353026" w14:textId="77777777" w:rsidR="008D4ADD" w:rsidRPr="00DB48DE" w:rsidRDefault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</w:rPr>
      </w:pPr>
      <w:r w:rsidRPr="00DB48DE">
        <w:rPr>
          <w:rFonts w:ascii="Arial" w:hAnsi="Arial" w:cs="Arial"/>
          <w:i/>
        </w:rPr>
        <w:t xml:space="preserve">Evaluar el comportamiento biomecánico y la integridad estructural de alineadores de PET-G y PU-Copolímero, analizando el impacto del </w:t>
      </w:r>
      <w:proofErr w:type="spellStart"/>
      <w:r w:rsidRPr="00DB48DE">
        <w:rPr>
          <w:rFonts w:ascii="Arial" w:hAnsi="Arial" w:cs="Arial"/>
          <w:i/>
        </w:rPr>
        <w:t>post-termoformado</w:t>
      </w:r>
      <w:proofErr w:type="spellEnd"/>
      <w:r w:rsidRPr="00DB48DE">
        <w:rPr>
          <w:rFonts w:ascii="Arial" w:hAnsi="Arial" w:cs="Arial"/>
          <w:i/>
        </w:rPr>
        <w:t xml:space="preserve"> y el microambiente intraoral en su capacidad de transferencia de fuerzas terapéuticas.</w:t>
      </w:r>
    </w:p>
    <w:p w14:paraId="3184F9D9" w14:textId="77777777" w:rsidR="00CA5CCC" w:rsidRPr="00DB48DE" w:rsidRDefault="00CA5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</w:rPr>
      </w:pPr>
    </w:p>
    <w:p w14:paraId="5571BDB7" w14:textId="77777777" w:rsidR="008D4ADD" w:rsidRPr="00DB48DE" w:rsidRDefault="00183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 xml:space="preserve">Objetivos </w:t>
      </w:r>
      <w:r w:rsidR="005C24EA" w:rsidRPr="00DB48DE">
        <w:rPr>
          <w:rFonts w:ascii="Arial" w:hAnsi="Arial" w:cs="Arial"/>
          <w:b/>
          <w:color w:val="000000"/>
        </w:rPr>
        <w:t>e</w:t>
      </w:r>
      <w:r w:rsidRPr="00DB48DE">
        <w:rPr>
          <w:rFonts w:ascii="Arial" w:hAnsi="Arial" w:cs="Arial"/>
          <w:b/>
          <w:color w:val="000000"/>
        </w:rPr>
        <w:t xml:space="preserve">specíficos </w:t>
      </w:r>
    </w:p>
    <w:p w14:paraId="0788050D" w14:textId="77777777" w:rsidR="005F3BEB" w:rsidRPr="00DB48DE" w:rsidRDefault="005F3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083688F6" w14:textId="77777777" w:rsidR="008D4ADD" w:rsidRPr="00DB48DE" w:rsidRDefault="005F3BEB" w:rsidP="005F3BE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Determinar las propiedades mecánicas de referencia (módulo elástico, resistencia a la tracción y dureza) de las láminas de PET-G y PU-Copolímero en su estado inicial.</w:t>
      </w:r>
    </w:p>
    <w:p w14:paraId="2F30F28D" w14:textId="77777777" w:rsidR="005F3BEB" w:rsidRPr="00DB48DE" w:rsidRDefault="005F3BEB" w:rsidP="005F3BE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Cuantificar las variaciones en las propiedades físico-mecánicas de los materiales inducidas por el proceso de termoformado sobre modelos dentales estandarizados.</w:t>
      </w:r>
    </w:p>
    <w:p w14:paraId="03D5D302" w14:textId="77777777" w:rsidR="005F3BEB" w:rsidRPr="00DB48DE" w:rsidRDefault="005F3BEB" w:rsidP="005F3BE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Analizar el comportamiento de deformación plástica y fluencia (</w:t>
      </w:r>
      <w:proofErr w:type="spellStart"/>
      <w:r w:rsidRPr="00DB48DE">
        <w:rPr>
          <w:rFonts w:ascii="Arial" w:hAnsi="Arial" w:cs="Arial"/>
          <w:color w:val="000000"/>
        </w:rPr>
        <w:t>creep</w:t>
      </w:r>
      <w:proofErr w:type="spellEnd"/>
      <w:r w:rsidRPr="00DB48DE">
        <w:rPr>
          <w:rFonts w:ascii="Arial" w:hAnsi="Arial" w:cs="Arial"/>
          <w:color w:val="000000"/>
        </w:rPr>
        <w:t>) de los alineadores tras ser sometidos a ciclos de carga mecánica y condiciones ambientales controladas.</w:t>
      </w:r>
    </w:p>
    <w:p w14:paraId="3D0CA7A7" w14:textId="77777777" w:rsidR="005F3BEB" w:rsidRPr="00DB48DE" w:rsidRDefault="005F3BEB" w:rsidP="005F3BE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</w:rPr>
      </w:pPr>
      <w:r w:rsidRPr="00DB48DE">
        <w:rPr>
          <w:rFonts w:ascii="Arial" w:hAnsi="Arial" w:cs="Arial"/>
          <w:color w:val="000000"/>
        </w:rPr>
        <w:t>Comparar el desempeño de ambos materiales para establecer cuál presenta menor degradación estructural frente a las cargas requeridas para el movimiento dental.</w:t>
      </w:r>
    </w:p>
    <w:p w14:paraId="298886CA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color w:val="000000"/>
        </w:rPr>
      </w:pPr>
    </w:p>
    <w:p w14:paraId="7A899E9D" w14:textId="77777777" w:rsidR="00DB48DE" w:rsidRDefault="00DB48DE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0C96DDA8" w14:textId="77777777" w:rsidR="00DB48DE" w:rsidRDefault="00DB48DE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12C229CF" w14:textId="77777777" w:rsidR="008D4ADD" w:rsidRPr="00DB48DE" w:rsidRDefault="00183791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 xml:space="preserve">METODOLOGÍA </w:t>
      </w:r>
    </w:p>
    <w:p w14:paraId="3DCAB162" w14:textId="77777777" w:rsidR="00B7393A" w:rsidRPr="00DB48DE" w:rsidRDefault="00B7393A" w:rsidP="00B7393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hAnsi="Arial" w:cs="Arial"/>
          <w:b/>
          <w:color w:val="000000"/>
        </w:rPr>
      </w:pPr>
    </w:p>
    <w:p w14:paraId="2403C582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bCs/>
          <w:color w:val="000000"/>
          <w:lang w:val="es-MX"/>
        </w:rPr>
        <w:t>FASE 1</w:t>
      </w:r>
      <w:r w:rsidRPr="00DB48DE">
        <w:rPr>
          <w:rFonts w:ascii="Arial" w:hAnsi="Arial" w:cs="Arial"/>
          <w:color w:val="000000"/>
          <w:lang w:val="es-MX"/>
        </w:rPr>
        <w:t> Caracterización mecánica inicial de los materiales</w:t>
      </w:r>
    </w:p>
    <w:p w14:paraId="3FBCDBF3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color w:val="000000"/>
          <w:lang w:val="es-MX"/>
        </w:rPr>
        <w:t>Las láminas de PET-G y PU-copolímero se acondicionan a 23 ± 2 °C y 50 ± 5 % de humedad relativa durante 48 h según normas de acondicionamiento de ensayos mecánicos de plásticos [1]. Se preparan probetas tipo I</w:t>
      </w:r>
      <w:r w:rsidR="00CB4246">
        <w:rPr>
          <w:rFonts w:ascii="Arial" w:hAnsi="Arial" w:cs="Arial"/>
          <w:color w:val="000000"/>
          <w:lang w:val="es-MX"/>
        </w:rPr>
        <w:t xml:space="preserve"> y tipo IV</w:t>
      </w:r>
      <w:r w:rsidRPr="00DB48DE">
        <w:rPr>
          <w:rFonts w:ascii="Arial" w:hAnsi="Arial" w:cs="Arial"/>
          <w:color w:val="000000"/>
          <w:lang w:val="es-MX"/>
        </w:rPr>
        <w:t xml:space="preserve"> para</w:t>
      </w:r>
      <w:r w:rsidR="001508D4">
        <w:rPr>
          <w:rFonts w:ascii="Arial" w:hAnsi="Arial" w:cs="Arial"/>
          <w:color w:val="000000"/>
          <w:lang w:val="es-MX"/>
        </w:rPr>
        <w:t xml:space="preserve"> espesores de 1.5mm para</w:t>
      </w:r>
      <w:r w:rsidRPr="00DB48DE">
        <w:rPr>
          <w:rFonts w:ascii="Arial" w:hAnsi="Arial" w:cs="Arial"/>
          <w:color w:val="000000"/>
          <w:lang w:val="es-MX"/>
        </w:rPr>
        <w:t xml:space="preserve"> tracción y prismáticas para flexión mediante corte CNC con tolerancias ±0,1 </w:t>
      </w:r>
      <w:proofErr w:type="spellStart"/>
      <w:r w:rsidRPr="00DB48DE">
        <w:rPr>
          <w:rFonts w:ascii="Arial" w:hAnsi="Arial" w:cs="Arial"/>
          <w:color w:val="000000"/>
          <w:lang w:val="es-MX"/>
        </w:rPr>
        <w:t>mm.</w:t>
      </w:r>
      <w:proofErr w:type="spellEnd"/>
      <w:r w:rsidR="00D93B54" w:rsidRPr="00D93B54">
        <w:rPr>
          <w:rFonts w:ascii="Arial" w:hAnsi="Arial" w:cs="Arial"/>
          <w:color w:val="000000"/>
          <w:lang w:val="es-MX"/>
        </w:rPr>
        <w:t xml:space="preserve"> </w:t>
      </w:r>
      <w:r w:rsidR="00D93B54">
        <w:rPr>
          <w:rFonts w:ascii="Arial" w:hAnsi="Arial" w:cs="Arial"/>
          <w:color w:val="000000"/>
          <w:lang w:val="es-MX"/>
        </w:rPr>
        <w:t>Para probetas de espesor de 0.5mm se elaborarán conforme a ASTM D882 [17].</w:t>
      </w:r>
      <w:r w:rsidRPr="00DB48DE">
        <w:rPr>
          <w:rFonts w:ascii="Arial" w:hAnsi="Arial" w:cs="Arial"/>
          <w:color w:val="000000"/>
          <w:lang w:val="es-MX"/>
        </w:rPr>
        <w:t xml:space="preserve"> Los ensayos de tracción se ejecutan en una máquina universal de ensayo </w:t>
      </w:r>
      <w:proofErr w:type="spellStart"/>
      <w:r w:rsidRPr="00DB48DE">
        <w:rPr>
          <w:rFonts w:ascii="Arial" w:hAnsi="Arial" w:cs="Arial"/>
          <w:color w:val="000000"/>
          <w:lang w:val="es-MX"/>
        </w:rPr>
        <w:t>Instron</w:t>
      </w:r>
      <w:proofErr w:type="spellEnd"/>
      <w:r w:rsidRPr="00DB48DE">
        <w:rPr>
          <w:rFonts w:ascii="Arial" w:hAnsi="Arial" w:cs="Arial"/>
          <w:color w:val="000000"/>
          <w:lang w:val="es-MX"/>
        </w:rPr>
        <w:t xml:space="preserve"> 3365 con celda de carga de 5 kN y velocidad de cruceta de 5 mm/min, determinando módulo elástico, resistencia máxima y elongación a la rotura conforme a ASTM D638 [1].</w:t>
      </w:r>
      <w:r w:rsidR="001508D4">
        <w:rPr>
          <w:rFonts w:ascii="Arial" w:hAnsi="Arial" w:cs="Arial"/>
          <w:color w:val="000000"/>
          <w:lang w:val="es-MX"/>
        </w:rPr>
        <w:t xml:space="preserve"> Para probetas de espesor de 0.5mm</w:t>
      </w:r>
      <w:r w:rsidR="00D93B54">
        <w:rPr>
          <w:rFonts w:ascii="Arial" w:hAnsi="Arial" w:cs="Arial"/>
          <w:color w:val="000000"/>
          <w:lang w:val="es-MX"/>
        </w:rPr>
        <w:t xml:space="preserve"> se elaborarán conforme a ASTM D882 [17]</w:t>
      </w:r>
      <w:r w:rsidRPr="00DB48DE">
        <w:rPr>
          <w:rFonts w:ascii="Arial" w:hAnsi="Arial" w:cs="Arial"/>
          <w:color w:val="000000"/>
          <w:lang w:val="es-MX"/>
        </w:rPr>
        <w:t xml:space="preserve"> Para evaluar rigidez a flexión se aplica el método de tres puntos según ASTM D790 [2], y el </w:t>
      </w:r>
      <w:r w:rsidRPr="00DB48DE">
        <w:rPr>
          <w:rFonts w:ascii="Arial" w:hAnsi="Arial" w:cs="Arial"/>
          <w:color w:val="000000"/>
          <w:lang w:val="es-MX"/>
        </w:rPr>
        <w:lastRenderedPageBreak/>
        <w:t>comportamiento dinámico-viscoelástico se obtiene mediante análisis dinámico-mecánico (DMA) con equipo TA Instruments Q800 conforme a ASTM D5024 [3].</w:t>
      </w:r>
    </w:p>
    <w:p w14:paraId="4B4EDD4E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</w:p>
    <w:p w14:paraId="2B8CE5FC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bCs/>
          <w:color w:val="000000"/>
          <w:lang w:val="es-MX"/>
        </w:rPr>
        <w:t>FASE 2</w:t>
      </w:r>
      <w:r w:rsidRPr="00DB48DE">
        <w:rPr>
          <w:rFonts w:ascii="Arial" w:hAnsi="Arial" w:cs="Arial"/>
          <w:color w:val="000000"/>
          <w:lang w:val="es-MX"/>
        </w:rPr>
        <w:t xml:space="preserve"> Termoformado y evaluación </w:t>
      </w:r>
      <w:proofErr w:type="spellStart"/>
      <w:proofErr w:type="gramStart"/>
      <w:r w:rsidRPr="00DB48DE">
        <w:rPr>
          <w:rFonts w:ascii="Arial" w:hAnsi="Arial" w:cs="Arial"/>
          <w:color w:val="000000"/>
          <w:lang w:val="es-MX"/>
        </w:rPr>
        <w:t>post-proceso</w:t>
      </w:r>
      <w:proofErr w:type="spellEnd"/>
      <w:proofErr w:type="gramEnd"/>
    </w:p>
    <w:p w14:paraId="575FB68F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color w:val="000000"/>
          <w:lang w:val="es-MX"/>
        </w:rPr>
        <w:t xml:space="preserve">Las láminas acondicionadas se </w:t>
      </w:r>
      <w:r w:rsidR="00764AF4" w:rsidRPr="00DB48DE">
        <w:rPr>
          <w:rFonts w:ascii="Arial" w:hAnsi="Arial" w:cs="Arial"/>
          <w:color w:val="000000"/>
          <w:lang w:val="es-MX"/>
        </w:rPr>
        <w:t>termo forman</w:t>
      </w:r>
      <w:r w:rsidRPr="00DB48DE">
        <w:rPr>
          <w:rFonts w:ascii="Arial" w:hAnsi="Arial" w:cs="Arial"/>
          <w:color w:val="000000"/>
          <w:lang w:val="es-MX"/>
        </w:rPr>
        <w:t xml:space="preserve"> sobre modelos dentales estandarizados usando una </w:t>
      </w:r>
      <w:proofErr w:type="spellStart"/>
      <w:r w:rsidR="00764AF4" w:rsidRPr="00764AF4">
        <w:rPr>
          <w:rFonts w:ascii="Arial" w:hAnsi="Arial" w:cs="Arial"/>
          <w:color w:val="000000"/>
          <w:lang w:val="es-MX"/>
        </w:rPr>
        <w:t>Erkopress</w:t>
      </w:r>
      <w:proofErr w:type="spellEnd"/>
      <w:r w:rsidR="00764AF4" w:rsidRPr="00764AF4">
        <w:rPr>
          <w:rFonts w:ascii="Arial" w:hAnsi="Arial" w:cs="Arial"/>
          <w:color w:val="000000"/>
          <w:lang w:val="es-MX"/>
        </w:rPr>
        <w:t xml:space="preserve"> Ci-</w:t>
      </w:r>
      <w:proofErr w:type="spellStart"/>
      <w:r w:rsidR="00764AF4" w:rsidRPr="00764AF4">
        <w:rPr>
          <w:rFonts w:ascii="Arial" w:hAnsi="Arial" w:cs="Arial"/>
          <w:color w:val="000000"/>
          <w:lang w:val="es-MX"/>
        </w:rPr>
        <w:t>motion</w:t>
      </w:r>
      <w:proofErr w:type="spellEnd"/>
      <w:r w:rsidR="00764AF4" w:rsidRPr="00764AF4">
        <w:rPr>
          <w:rFonts w:ascii="Arial" w:hAnsi="Arial" w:cs="Arial"/>
          <w:color w:val="000000"/>
          <w:lang w:val="es-MX"/>
        </w:rPr>
        <w:t xml:space="preserve"> de </w:t>
      </w:r>
      <w:proofErr w:type="spellStart"/>
      <w:r w:rsidR="00764AF4" w:rsidRPr="00764AF4">
        <w:rPr>
          <w:rFonts w:ascii="Arial" w:hAnsi="Arial" w:cs="Arial"/>
          <w:color w:val="000000"/>
          <w:lang w:val="es-MX"/>
        </w:rPr>
        <w:t>erkodent</w:t>
      </w:r>
      <w:proofErr w:type="spellEnd"/>
      <w:r w:rsidR="00764AF4">
        <w:rPr>
          <w:rFonts w:ascii="Arial" w:hAnsi="Arial" w:cs="Arial"/>
          <w:color w:val="000000"/>
          <w:lang w:val="es-MX"/>
        </w:rPr>
        <w:t xml:space="preserve"> </w:t>
      </w:r>
      <w:r w:rsidRPr="00DB48DE">
        <w:rPr>
          <w:rFonts w:ascii="Arial" w:hAnsi="Arial" w:cs="Arial"/>
          <w:color w:val="000000"/>
          <w:lang w:val="es-MX"/>
        </w:rPr>
        <w:t>Se emplean temperaturas de 160 – 180 °C para PET-G y 140 – 160 °C para PU, controladas mediante calentamiento infrarrojo para garantizar fluidez sin descomposición del polímero [7]. Tras enfriamiento a temperatura ambiente durante 10 min, los alineadores se recortan y de ellos se extraen probetas para ensayos mecánicos equivalentes a la Fase 1, permitiendo cuantificar variacione</w:t>
      </w:r>
      <w:r w:rsidR="001A18F2">
        <w:rPr>
          <w:rFonts w:ascii="Arial" w:hAnsi="Arial" w:cs="Arial"/>
          <w:color w:val="000000"/>
          <w:lang w:val="es-MX"/>
        </w:rPr>
        <w:t>s inducidas por el proceso de termo</w:t>
      </w:r>
      <w:r w:rsidRPr="00DB48DE">
        <w:rPr>
          <w:rFonts w:ascii="Arial" w:hAnsi="Arial" w:cs="Arial"/>
          <w:color w:val="000000"/>
          <w:lang w:val="es-MX"/>
        </w:rPr>
        <w:t xml:space="preserve">formado. </w:t>
      </w:r>
      <w:r w:rsidRPr="00757230">
        <w:rPr>
          <w:rFonts w:ascii="Arial" w:hAnsi="Arial" w:cs="Arial"/>
          <w:color w:val="000000"/>
          <w:highlight w:val="yellow"/>
          <w:lang w:val="es-MX"/>
        </w:rPr>
        <w:t xml:space="preserve">La </w:t>
      </w:r>
      <w:proofErr w:type="gramStart"/>
      <w:r w:rsidRPr="00757230">
        <w:rPr>
          <w:rFonts w:ascii="Arial" w:hAnsi="Arial" w:cs="Arial"/>
          <w:color w:val="000000"/>
          <w:highlight w:val="yellow"/>
          <w:lang w:val="es-MX"/>
        </w:rPr>
        <w:t>estabilidad térmica y las transiciones térmicas</w:t>
      </w:r>
      <w:proofErr w:type="gramEnd"/>
      <w:r w:rsidRPr="00757230">
        <w:rPr>
          <w:rFonts w:ascii="Arial" w:hAnsi="Arial" w:cs="Arial"/>
          <w:color w:val="000000"/>
          <w:highlight w:val="yellow"/>
          <w:lang w:val="es-MX"/>
        </w:rPr>
        <w:t xml:space="preserve"> del material se evalúan mediante calorimetría diferencial de barrido (DSC) con TA Instruments Q2000, siguiendo ASTM D3418 [5].</w:t>
      </w:r>
      <w:r w:rsidR="00757230">
        <w:rPr>
          <w:rFonts w:ascii="Arial" w:hAnsi="Arial" w:cs="Arial"/>
          <w:color w:val="000000"/>
          <w:lang w:val="es-MX"/>
        </w:rPr>
        <w:t xml:space="preserve"> Posible para borrar.</w:t>
      </w:r>
    </w:p>
    <w:p w14:paraId="0DEB66C4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</w:p>
    <w:p w14:paraId="1AD22660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bCs/>
          <w:color w:val="000000"/>
          <w:lang w:val="es-MX"/>
        </w:rPr>
        <w:t>FASE 3</w:t>
      </w:r>
      <w:r w:rsidRPr="00DB48DE">
        <w:rPr>
          <w:rFonts w:ascii="Arial" w:hAnsi="Arial" w:cs="Arial"/>
          <w:color w:val="000000"/>
          <w:lang w:val="es-MX"/>
        </w:rPr>
        <w:t> Simulación del microambiente intraoral y análisis de fluencia</w:t>
      </w:r>
    </w:p>
    <w:p w14:paraId="0B16FB0F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color w:val="000000"/>
          <w:lang w:val="es-MX"/>
        </w:rPr>
        <w:t xml:space="preserve">Los alineadores termoformados se someten a envejecimiento acelerado en cámara climática Binder KBF 240 a 37 ± 1 °C y ≥95 % de humedad relativa para simular condiciones intraorales [2], [7]. Posteriormente, se aplican cargas mecánicas constantes entre 0,5 y 2 N representativas de fuerzas ortodónticas clínicas utilizando una máquina de ensayos </w:t>
      </w:r>
      <w:proofErr w:type="spellStart"/>
      <w:r w:rsidRPr="00DB48DE">
        <w:rPr>
          <w:rFonts w:ascii="Arial" w:hAnsi="Arial" w:cs="Arial"/>
          <w:color w:val="000000"/>
          <w:lang w:val="es-MX"/>
        </w:rPr>
        <w:t>Instron</w:t>
      </w:r>
      <w:proofErr w:type="spellEnd"/>
      <w:r w:rsidRPr="00DB48DE">
        <w:rPr>
          <w:rFonts w:ascii="Arial" w:hAnsi="Arial" w:cs="Arial"/>
          <w:color w:val="000000"/>
          <w:lang w:val="es-MX"/>
        </w:rPr>
        <w:t xml:space="preserve"> 5943 configurada para fluencia. La deformación temporal y residual se registra mediante </w:t>
      </w:r>
      <w:proofErr w:type="spellStart"/>
      <w:r w:rsidRPr="00DB48DE">
        <w:rPr>
          <w:rFonts w:ascii="Arial" w:hAnsi="Arial" w:cs="Arial"/>
          <w:color w:val="000000"/>
          <w:lang w:val="es-MX"/>
        </w:rPr>
        <w:t>extensometría</w:t>
      </w:r>
      <w:proofErr w:type="spellEnd"/>
      <w:r w:rsidRPr="00DB48DE">
        <w:rPr>
          <w:rFonts w:ascii="Arial" w:hAnsi="Arial" w:cs="Arial"/>
          <w:color w:val="000000"/>
          <w:lang w:val="es-MX"/>
        </w:rPr>
        <w:t xml:space="preserve"> de alta resolución (±1 µm). Esta fase permite evaluar la estabilidad dimensional y la respuesta viscoelástica de los materiales bajo estrés prolo</w:t>
      </w:r>
      <w:r w:rsidR="006A0E7F">
        <w:rPr>
          <w:rFonts w:ascii="Arial" w:hAnsi="Arial" w:cs="Arial"/>
          <w:color w:val="000000"/>
          <w:lang w:val="es-MX"/>
        </w:rPr>
        <w:t>ngado de acuerdo con ASTM D2990</w:t>
      </w:r>
      <w:r w:rsidRPr="00DB48DE">
        <w:rPr>
          <w:rFonts w:ascii="Arial" w:hAnsi="Arial" w:cs="Arial"/>
          <w:color w:val="000000"/>
          <w:lang w:val="es-MX"/>
        </w:rPr>
        <w:t xml:space="preserve"> [4].</w:t>
      </w:r>
    </w:p>
    <w:p w14:paraId="0BAA1B2F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</w:p>
    <w:p w14:paraId="17E19E69" w14:textId="77777777" w:rsidR="005F3BEB" w:rsidRPr="00DB48DE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bCs/>
          <w:color w:val="000000"/>
          <w:lang w:val="es-MX"/>
        </w:rPr>
        <w:t>FASE 4</w:t>
      </w:r>
      <w:r w:rsidRPr="00DB48DE">
        <w:rPr>
          <w:rFonts w:ascii="Arial" w:hAnsi="Arial" w:cs="Arial"/>
          <w:color w:val="000000"/>
          <w:lang w:val="es-MX"/>
        </w:rPr>
        <w:t> Análisis comparativo del desempeño biomecánico e interpretación clínica</w:t>
      </w:r>
    </w:p>
    <w:p w14:paraId="4586EECC" w14:textId="77777777" w:rsidR="005F3BEB" w:rsidRDefault="005F3BEB" w:rsidP="005F3BE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  <w:r w:rsidRPr="00DB48DE">
        <w:rPr>
          <w:rFonts w:ascii="Arial" w:hAnsi="Arial" w:cs="Arial"/>
          <w:color w:val="000000"/>
          <w:lang w:val="es-MX"/>
        </w:rPr>
        <w:t>Los datos experimentales se procesan mediante análisis estadístico paramétrico</w:t>
      </w:r>
      <w:r w:rsidR="005F0E04">
        <w:rPr>
          <w:rFonts w:ascii="Arial" w:hAnsi="Arial" w:cs="Arial"/>
          <w:color w:val="000000"/>
          <w:lang w:val="es-MX"/>
        </w:rPr>
        <w:t>, específicamente a través de pruebas ANOVA con un nivel de significancia de p &lt; 0,05</w:t>
      </w:r>
      <w:r w:rsidRPr="00DB48DE">
        <w:rPr>
          <w:rFonts w:ascii="Arial" w:hAnsi="Arial" w:cs="Arial"/>
          <w:color w:val="000000"/>
          <w:lang w:val="es-MX"/>
        </w:rPr>
        <w:t>. Se comparan pérdidas relativas de módulo elástico, resistencia mecánica, deformación permanente y fluencia entre PET-G y PU-copolímero, evaluando su capacidad para mantener fuerzas terapéuticas estables tras envejecimiento simulados [6]. El análisis se orienta a determinar qué material presenta menor degradación estructural bajo condiciones de uso ortodóntico y ofrecer criterios técnicos para su selección clínica. Estudios de la literatura reciente han mostrado diferencias significativas en rigidez y estabilidad mecánica entre PET-G y TPU, siendo relevante considerar grosor del material y condiciones de carga [6], [8].</w:t>
      </w:r>
    </w:p>
    <w:p w14:paraId="6483DAFA" w14:textId="77777777" w:rsidR="001A18F2" w:rsidRDefault="00EA27D9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</w:rPr>
      </w:pPr>
      <w:r w:rsidRPr="00EA27D9">
        <w:rPr>
          <w:rFonts w:ascii="Arial" w:hAnsi="Arial" w:cs="Arial"/>
          <w:bCs/>
          <w:color w:val="000000"/>
        </w:rPr>
        <w:t xml:space="preserve">Entregable </w:t>
      </w:r>
      <w:r w:rsidR="001A18F2">
        <w:rPr>
          <w:rFonts w:ascii="Arial" w:hAnsi="Arial" w:cs="Arial"/>
          <w:bCs/>
          <w:color w:val="000000"/>
        </w:rPr>
        <w:t xml:space="preserve">1 </w:t>
      </w:r>
    </w:p>
    <w:p w14:paraId="3174A4FA" w14:textId="77777777" w:rsidR="00EA27D9" w:rsidRDefault="00EA27D9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</w:rPr>
      </w:pPr>
      <w:r w:rsidRPr="00EA27D9">
        <w:rPr>
          <w:rFonts w:ascii="Arial" w:hAnsi="Arial" w:cs="Arial"/>
          <w:color w:val="000000"/>
        </w:rPr>
        <w:t>Protocolo estandarizado de acondicionamiento y preparación de probetas, junto con banco de datos de propiedades físico-mecánicas iniciales (módulo elástico, resistencia a la tracción, elongación a la rotura y rigidez a flexión) y caracterización viscoelástica mediante DMA para materiales PET-G y PU-copolímero en estado virgen.</w:t>
      </w:r>
    </w:p>
    <w:p w14:paraId="62E9E3D5" w14:textId="77777777" w:rsidR="001A18F2" w:rsidRPr="00DB48DE" w:rsidRDefault="001A18F2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hAnsi="Arial" w:cs="Arial"/>
          <w:color w:val="000000"/>
          <w:lang w:val="es-MX"/>
        </w:rPr>
      </w:pPr>
    </w:p>
    <w:p w14:paraId="41D65A7D" w14:textId="77777777" w:rsidR="001A18F2" w:rsidRDefault="001A18F2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bCs/>
          <w:color w:val="000000"/>
        </w:rPr>
      </w:pPr>
      <w:r w:rsidRPr="00EA27D9">
        <w:rPr>
          <w:rFonts w:ascii="Arial" w:hAnsi="Arial" w:cs="Arial"/>
          <w:bCs/>
          <w:color w:val="000000"/>
        </w:rPr>
        <w:t xml:space="preserve">Entregable </w:t>
      </w:r>
      <w:r>
        <w:rPr>
          <w:rFonts w:ascii="Arial" w:hAnsi="Arial" w:cs="Arial"/>
          <w:bCs/>
          <w:color w:val="000000"/>
        </w:rPr>
        <w:t xml:space="preserve">2 </w:t>
      </w:r>
    </w:p>
    <w:p w14:paraId="575A4DC4" w14:textId="77777777" w:rsidR="005F3BEB" w:rsidRDefault="001A18F2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</w:rPr>
      </w:pPr>
      <w:r w:rsidRPr="001A18F2">
        <w:rPr>
          <w:rFonts w:ascii="Arial" w:hAnsi="Arial" w:cs="Arial"/>
          <w:color w:val="000000"/>
        </w:rPr>
        <w:t xml:space="preserve">Protocolo de termoformado controlado y conjunto de datos comparativos pre y </w:t>
      </w:r>
      <w:proofErr w:type="spellStart"/>
      <w:proofErr w:type="gramStart"/>
      <w:r w:rsidRPr="001A18F2">
        <w:rPr>
          <w:rFonts w:ascii="Arial" w:hAnsi="Arial" w:cs="Arial"/>
          <w:color w:val="000000"/>
        </w:rPr>
        <w:t>post-proceso</w:t>
      </w:r>
      <w:proofErr w:type="spellEnd"/>
      <w:proofErr w:type="gramEnd"/>
      <w:r w:rsidRPr="001A18F2">
        <w:rPr>
          <w:rFonts w:ascii="Arial" w:hAnsi="Arial" w:cs="Arial"/>
          <w:color w:val="000000"/>
        </w:rPr>
        <w:t>, incluyendo variaciones en propiedades mecánicas y resultados de análisis térmico (DSC) para evaluar la influencia del conformado en la estructura del material.</w:t>
      </w:r>
      <w:r>
        <w:rPr>
          <w:rFonts w:ascii="Arial" w:hAnsi="Arial" w:cs="Arial"/>
          <w:color w:val="000000"/>
        </w:rPr>
        <w:br/>
      </w:r>
    </w:p>
    <w:p w14:paraId="3E6648AC" w14:textId="77777777" w:rsidR="001A18F2" w:rsidRPr="001A18F2" w:rsidRDefault="001A18F2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bCs/>
          <w:color w:val="000000"/>
        </w:rPr>
      </w:pPr>
      <w:r w:rsidRPr="00EA27D9">
        <w:rPr>
          <w:rFonts w:ascii="Arial" w:hAnsi="Arial" w:cs="Arial"/>
          <w:bCs/>
          <w:color w:val="000000"/>
        </w:rPr>
        <w:t xml:space="preserve">Entregable </w:t>
      </w:r>
      <w:r>
        <w:rPr>
          <w:rFonts w:ascii="Arial" w:hAnsi="Arial" w:cs="Arial"/>
          <w:bCs/>
          <w:color w:val="000000"/>
        </w:rPr>
        <w:t>3</w:t>
      </w:r>
    </w:p>
    <w:p w14:paraId="74FEBA9C" w14:textId="77777777" w:rsidR="001A18F2" w:rsidRDefault="001A18F2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</w:rPr>
      </w:pPr>
      <w:r w:rsidRPr="001A18F2">
        <w:rPr>
          <w:rFonts w:ascii="Arial" w:hAnsi="Arial" w:cs="Arial"/>
          <w:color w:val="000000"/>
        </w:rPr>
        <w:lastRenderedPageBreak/>
        <w:t>Curvas de fluencia (deformación vs. tiempo) y base de datos de deformación elástica, viscoelástica y plástica bajo condiciones simuladas intraorales (37 °C y alta humedad), con análisis del efecto de cargas constantes en la estabilidad dimensional de los alineadores.</w:t>
      </w:r>
    </w:p>
    <w:p w14:paraId="6B49E17D" w14:textId="77777777" w:rsidR="001A18F2" w:rsidRDefault="001A18F2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</w:rPr>
      </w:pPr>
    </w:p>
    <w:p w14:paraId="0C5C6B21" w14:textId="77777777" w:rsidR="001A18F2" w:rsidRPr="001A18F2" w:rsidRDefault="001A18F2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bCs/>
          <w:color w:val="000000"/>
        </w:rPr>
      </w:pPr>
      <w:r w:rsidRPr="00EA27D9">
        <w:rPr>
          <w:rFonts w:ascii="Arial" w:hAnsi="Arial" w:cs="Arial"/>
          <w:bCs/>
          <w:color w:val="000000"/>
        </w:rPr>
        <w:t xml:space="preserve">Entregable </w:t>
      </w:r>
      <w:r>
        <w:rPr>
          <w:rFonts w:ascii="Arial" w:hAnsi="Arial" w:cs="Arial"/>
          <w:bCs/>
          <w:color w:val="000000"/>
        </w:rPr>
        <w:t>4</w:t>
      </w:r>
    </w:p>
    <w:p w14:paraId="5086880F" w14:textId="77777777" w:rsidR="001A18F2" w:rsidRPr="001A18F2" w:rsidRDefault="001A18F2" w:rsidP="00F421A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lang w:val="es-MX"/>
        </w:rPr>
      </w:pPr>
      <w:r w:rsidRPr="001A18F2">
        <w:rPr>
          <w:rFonts w:ascii="Arial" w:hAnsi="Arial" w:cs="Arial"/>
          <w:color w:val="000000"/>
        </w:rPr>
        <w:t>Análisis estadístico (ANOVA) y modelo comparativo del desempeño biomecánico, incluyendo evaluación de degradación estructural, pérdida de rigidez y comportamiento viscoelástico entre materiales, espesores y condiciones de uso, acompañado de informe final y propuesta de artículo científico</w:t>
      </w:r>
      <w:r>
        <w:rPr>
          <w:rFonts w:ascii="Arial" w:hAnsi="Arial" w:cs="Arial"/>
          <w:color w:val="000000"/>
        </w:rPr>
        <w:t xml:space="preserve"> si la tesis es aplicable a una</w:t>
      </w:r>
      <w:r w:rsidRPr="001A18F2">
        <w:rPr>
          <w:rFonts w:ascii="Arial" w:hAnsi="Arial" w:cs="Arial"/>
          <w:color w:val="000000"/>
        </w:rPr>
        <w:t>.</w:t>
      </w:r>
    </w:p>
    <w:p w14:paraId="541E94B2" w14:textId="77777777" w:rsidR="001A18F2" w:rsidRDefault="001A18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</w:p>
    <w:p w14:paraId="343B440F" w14:textId="77777777" w:rsidR="008D4ADD" w:rsidRPr="00DB48DE" w:rsidRDefault="00183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>Etapas del Proyecto</w:t>
      </w:r>
    </w:p>
    <w:p w14:paraId="60AED3A8" w14:textId="77777777" w:rsidR="00B7393A" w:rsidRPr="00DB48DE" w:rsidRDefault="00B739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</w:rPr>
      </w:pPr>
    </w:p>
    <w:p w14:paraId="2DFAB690" w14:textId="77777777" w:rsidR="00DB48DE" w:rsidRDefault="00DB48DE">
      <w:pPr>
        <w:spacing w:after="0" w:line="240" w:lineRule="auto"/>
        <w:rPr>
          <w:rFonts w:ascii="Arial" w:hAnsi="Arial" w:cs="Arial"/>
          <w:color w:val="000000"/>
        </w:rPr>
      </w:pPr>
    </w:p>
    <w:p w14:paraId="063A86B0" w14:textId="77777777" w:rsidR="008D4ADD" w:rsidRDefault="00183791">
      <w:pPr>
        <w:spacing w:after="0" w:line="240" w:lineRule="auto"/>
        <w:rPr>
          <w:rFonts w:ascii="Arial" w:hAnsi="Arial" w:cs="Arial"/>
          <w:b/>
          <w:lang w:val="es-MX"/>
        </w:rPr>
      </w:pPr>
      <w:r w:rsidRPr="00DB48DE">
        <w:rPr>
          <w:rFonts w:ascii="Arial" w:hAnsi="Arial" w:cs="Arial"/>
          <w:b/>
          <w:lang w:val="es-MX"/>
        </w:rPr>
        <w:t xml:space="preserve">PRESUPUESTO </w:t>
      </w:r>
    </w:p>
    <w:tbl>
      <w:tblPr>
        <w:tblpPr w:leftFromText="141" w:rightFromText="141" w:vertAnchor="text" w:horzAnchor="margin" w:tblpXSpec="center" w:tblpY="470"/>
        <w:tblW w:w="101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1"/>
        <w:gridCol w:w="2070"/>
        <w:gridCol w:w="1898"/>
        <w:gridCol w:w="2230"/>
      </w:tblGrid>
      <w:tr w:rsidR="00120D2E" w:rsidRPr="00415784" w14:paraId="253152E9" w14:textId="77777777" w:rsidTr="00120D2E">
        <w:trPr>
          <w:trHeight w:val="282"/>
        </w:trPr>
        <w:tc>
          <w:tcPr>
            <w:tcW w:w="39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1C8F909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szCs w:val="24"/>
                <w:lang w:val="es-ES" w:eastAsia="es-ES"/>
              </w:rPr>
            </w:pPr>
          </w:p>
          <w:p w14:paraId="66067980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szCs w:val="24"/>
                <w:lang w:val="es-ES" w:eastAsia="es-ES"/>
              </w:rPr>
            </w:pPr>
          </w:p>
          <w:p w14:paraId="21701C49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szCs w:val="24"/>
                <w:lang w:val="es-ES" w:eastAsia="es-ES"/>
              </w:rPr>
            </w:pPr>
          </w:p>
          <w:p w14:paraId="64F9EEDD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szCs w:val="24"/>
                <w:lang w:val="es-ES" w:eastAsia="es-ES"/>
              </w:rPr>
              <w:t>ÍTEMS</w:t>
            </w:r>
          </w:p>
        </w:tc>
        <w:tc>
          <w:tcPr>
            <w:tcW w:w="61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4D8606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301B8A0B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FINANCIACIÓN</w:t>
            </w:r>
          </w:p>
          <w:p w14:paraId="2B8B971F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</w:tc>
      </w:tr>
      <w:tr w:rsidR="00120D2E" w:rsidRPr="00415784" w14:paraId="69FCD5E2" w14:textId="77777777" w:rsidTr="00120D2E">
        <w:trPr>
          <w:trHeight w:val="1153"/>
        </w:trPr>
        <w:tc>
          <w:tcPr>
            <w:tcW w:w="39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467588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szCs w:val="24"/>
                <w:lang w:val="es-ES" w:eastAsia="es-ES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C7C8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5D583AB7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1CD17060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PROPIA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0C9F3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49E03629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</w:p>
          <w:p w14:paraId="398A964A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UAO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B47518" w14:textId="77777777" w:rsidR="00120D2E" w:rsidRPr="005C24EA" w:rsidRDefault="00120D2E" w:rsidP="00120D2E">
            <w:pPr>
              <w:pStyle w:val="Sinespaciado"/>
              <w:jc w:val="center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EXTERNA CON OTRAS INSTITUCIONES (defina cuales)</w:t>
            </w:r>
          </w:p>
        </w:tc>
      </w:tr>
      <w:tr w:rsidR="00120D2E" w:rsidRPr="00FA61FA" w14:paraId="1B68F572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639D6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1. Honorarios de Orientador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58E73" w14:textId="1EBC9375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6A519" w14:textId="43DEF9C3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3.125.960 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88952" w14:textId="448C3329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bCs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Cs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bCs/>
                <w:i/>
                <w:szCs w:val="24"/>
                <w:lang w:val="es-ES" w:eastAsia="es-ES"/>
              </w:rPr>
              <w:t xml:space="preserve"> </w:t>
            </w:r>
            <w:r w:rsidR="0086701D">
              <w:rPr>
                <w:rFonts w:ascii="Arial" w:eastAsia="Times New Roman" w:hAnsi="Arial" w:cs="Arial"/>
                <w:bCs/>
                <w:i/>
                <w:szCs w:val="24"/>
                <w:lang w:val="es-ES" w:eastAsia="es-ES"/>
              </w:rPr>
              <w:t>3.125.960</w:t>
            </w:r>
          </w:p>
        </w:tc>
      </w:tr>
      <w:tr w:rsidR="00120D2E" w:rsidRPr="00FA61FA" w14:paraId="230E3F0F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CC40C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2. Elementos de escritorio y papelería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9CB97" w14:textId="51937B65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86701D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6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0.000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4216B" w14:textId="50A2C472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 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2DD3D" w14:textId="7B6F84A3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 </w:t>
            </w:r>
          </w:p>
        </w:tc>
      </w:tr>
      <w:tr w:rsidR="00120D2E" w:rsidRPr="00FA61FA" w14:paraId="03A665D1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5EA61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3. Comunicaciones (fax, correo)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D7377" w14:textId="0FCBEBE9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80.000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3692E" w14:textId="3DF7D973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6F875" w14:textId="3178B672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02B03C1D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CB714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4. Fotocopias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83DEE" w14:textId="58DED83B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 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50.000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C87C2" w14:textId="727AD7EF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11570" w14:textId="2519D95C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37C8B9AF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ED085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5. Bibliografía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249B2" w14:textId="1ED68CF9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200.000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2182A" w14:textId="4745DA98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1.100.000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5EFAF" w14:textId="00B3AADA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3B2115FE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82F64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6. Transporte y gastos de viaje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EC760" w14:textId="4B92F0B1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7C3B3D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200.000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3829F" w14:textId="675BE753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6D1F1" w14:textId="3B81D6AE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2192B105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58C75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7. Software</w:t>
            </w:r>
            <w:r w:rsidRPr="005C24EA">
              <w:rPr>
                <w:rStyle w:val="Refdenotaalpie"/>
                <w:rFonts w:ascii="Arial" w:eastAsia="Times New Roman" w:hAnsi="Arial" w:cs="Arial"/>
                <w:i/>
                <w:szCs w:val="24"/>
                <w:lang w:val="es-ES" w:eastAsia="es-ES"/>
              </w:rPr>
              <w:footnoteReference w:id="1"/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A66E2" w14:textId="04C331A0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49A1AE" w14:textId="6DF5E086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C3ED0" w14:textId="7B3D8B4A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</w:tr>
      <w:tr w:rsidR="00120D2E" w:rsidRPr="00FA61FA" w14:paraId="6FEFDA64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DBF2C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8. Materiales y equipos</w:t>
            </w:r>
            <w:r w:rsidRPr="005C24EA">
              <w:rPr>
                <w:rStyle w:val="Refdenotaalpie"/>
                <w:rFonts w:ascii="Arial" w:eastAsia="Times New Roman" w:hAnsi="Arial" w:cs="Arial"/>
                <w:i/>
                <w:szCs w:val="24"/>
                <w:lang w:val="es-ES" w:eastAsia="es-ES"/>
              </w:rPr>
              <w:footnoteReference w:id="2"/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BB0DC" w14:textId="2C5CDF10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7C3B3D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CB267" w14:textId="765A0242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4E206" w14:textId="64155C89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1.</w:t>
            </w:r>
            <w:r w:rsidR="00005548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5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00.000</w:t>
            </w:r>
          </w:p>
        </w:tc>
      </w:tr>
      <w:tr w:rsidR="00120D2E" w:rsidRPr="00FA61FA" w14:paraId="0436165F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A22D7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9. Otros (especifique)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77D54" w14:textId="5B6CB5B6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FD695" w14:textId="3A09AA68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030BC7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7EE84" w14:textId="7615915D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5D35EB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200.000</w:t>
            </w:r>
          </w:p>
        </w:tc>
      </w:tr>
      <w:tr w:rsidR="00120D2E" w:rsidRPr="00FA61FA" w14:paraId="544C18B7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04FAE0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b/>
                <w:bCs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i/>
                <w:szCs w:val="24"/>
                <w:lang w:val="es-ES" w:eastAsia="es-ES"/>
              </w:rPr>
              <w:t>Total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93E57" w14:textId="5BF9797B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4E7DC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590.000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956B7" w14:textId="331DC854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 $</w:t>
            </w:r>
            <w:r w:rsidR="004E7DC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4.225.960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06C6B" w14:textId="68C8E66D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 xml:space="preserve"> $ </w:t>
            </w:r>
            <w:r w:rsidR="004E7DC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4.</w:t>
            </w:r>
            <w:r w:rsidR="00005548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8</w:t>
            </w:r>
            <w:r w:rsidR="004E7DC4">
              <w:rPr>
                <w:rFonts w:ascii="Arial" w:eastAsia="Times New Roman" w:hAnsi="Arial" w:cs="Arial"/>
                <w:i/>
                <w:szCs w:val="24"/>
                <w:lang w:val="es-ES" w:eastAsia="es-ES"/>
              </w:rPr>
              <w:t>25.960</w:t>
            </w:r>
          </w:p>
        </w:tc>
      </w:tr>
      <w:tr w:rsidR="00120D2E" w:rsidRPr="00FA61FA" w14:paraId="42514DC4" w14:textId="77777777" w:rsidTr="00120D2E">
        <w:trPr>
          <w:trHeight w:val="265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D0824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</w:pPr>
            <w:r w:rsidRPr="005C24EA">
              <w:rPr>
                <w:rFonts w:ascii="Arial" w:eastAsia="Times New Roman" w:hAnsi="Arial" w:cs="Arial"/>
                <w:b/>
                <w:bCs/>
                <w:szCs w:val="24"/>
                <w:lang w:val="es-ES" w:eastAsia="es-ES"/>
              </w:rPr>
              <w:t>Valor Total del Proyecto</w:t>
            </w:r>
          </w:p>
        </w:tc>
        <w:tc>
          <w:tcPr>
            <w:tcW w:w="39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DF085" w14:textId="3D1E1E84" w:rsidR="00120D2E" w:rsidRPr="00005548" w:rsidRDefault="00005548" w:rsidP="00120D2E">
            <w:pPr>
              <w:pStyle w:val="Sinespaciado"/>
              <w:rPr>
                <w:rFonts w:ascii="Arial" w:eastAsia="Times New Roman" w:hAnsi="Arial" w:cs="Arial"/>
                <w:i/>
                <w:iCs/>
                <w:szCs w:val="24"/>
                <w:lang w:val="es-ES" w:eastAsia="es-ES"/>
              </w:rPr>
            </w:pPr>
            <w:r w:rsidRPr="00005548">
              <w:rPr>
                <w:rFonts w:ascii="Arial" w:eastAsia="Times New Roman" w:hAnsi="Arial" w:cs="Arial"/>
                <w:i/>
                <w:iCs/>
                <w:szCs w:val="24"/>
                <w:lang w:val="es-ES" w:eastAsia="es-ES"/>
              </w:rPr>
              <w:t>$ 9.641.920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D0F4EF" w14:textId="77777777" w:rsidR="00120D2E" w:rsidRPr="005C24EA" w:rsidRDefault="00120D2E" w:rsidP="00120D2E">
            <w:pPr>
              <w:pStyle w:val="Sinespaciado"/>
              <w:rPr>
                <w:rFonts w:ascii="Arial" w:eastAsia="Times New Roman" w:hAnsi="Arial" w:cs="Arial"/>
                <w:szCs w:val="24"/>
                <w:lang w:val="es-ES" w:eastAsia="es-ES"/>
              </w:rPr>
            </w:pPr>
          </w:p>
        </w:tc>
      </w:tr>
    </w:tbl>
    <w:p w14:paraId="7399DB38" w14:textId="77777777" w:rsidR="006E7A28" w:rsidRDefault="006E7A28">
      <w:pPr>
        <w:spacing w:after="0" w:line="240" w:lineRule="auto"/>
        <w:rPr>
          <w:rFonts w:ascii="Arial" w:hAnsi="Arial" w:cs="Arial"/>
          <w:b/>
          <w:lang w:val="es-MX"/>
        </w:rPr>
      </w:pPr>
    </w:p>
    <w:p w14:paraId="5F1589C7" w14:textId="77777777" w:rsidR="006E7A28" w:rsidRPr="00DB48DE" w:rsidRDefault="006E7A28">
      <w:pPr>
        <w:spacing w:after="0" w:line="240" w:lineRule="auto"/>
        <w:rPr>
          <w:rFonts w:ascii="Arial" w:hAnsi="Arial" w:cs="Arial"/>
          <w:b/>
          <w:lang w:val="es-MX"/>
        </w:rPr>
      </w:pPr>
    </w:p>
    <w:p w14:paraId="0E4DAF49" w14:textId="77777777" w:rsidR="008D4ADD" w:rsidRDefault="008D4ADD">
      <w:pPr>
        <w:spacing w:after="0" w:line="240" w:lineRule="auto"/>
        <w:rPr>
          <w:rFonts w:ascii="Arial" w:hAnsi="Arial" w:cs="Arial"/>
          <w:b/>
          <w:lang w:val="es-MX"/>
        </w:rPr>
      </w:pPr>
    </w:p>
    <w:p w14:paraId="58B0AC87" w14:textId="46848CC3" w:rsidR="00005548" w:rsidRDefault="00F9141B" w:rsidP="00F9141B">
      <w:pPr>
        <w:rPr>
          <w:rFonts w:ascii="Arial" w:hAnsi="Arial" w:cs="Arial"/>
          <w:bCs/>
          <w:lang w:val="es-MX"/>
        </w:rPr>
      </w:pPr>
      <w:r w:rsidRPr="0086701D">
        <w:rPr>
          <w:rFonts w:ascii="Arial" w:hAnsi="Arial" w:cs="Arial"/>
          <w:i/>
          <w:iCs/>
          <w:lang w:val="es-MX"/>
        </w:rPr>
        <w:t>1. Honorarios de Orientador</w:t>
      </w:r>
      <w:r w:rsidR="0086701D">
        <w:rPr>
          <w:rFonts w:ascii="Arial" w:hAnsi="Arial" w:cs="Arial"/>
          <w:lang w:val="es-MX"/>
        </w:rPr>
        <w:t xml:space="preserve">: </w:t>
      </w:r>
      <w:r w:rsidR="00005548" w:rsidRPr="00005548">
        <w:rPr>
          <w:rFonts w:ascii="Arial" w:hAnsi="Arial" w:cs="Arial"/>
          <w:bCs/>
          <w:lang w:val="es-MX"/>
        </w:rPr>
        <w:t xml:space="preserve">Corresponde a la valoración económica de la supervisión técnica y académica durante las 4 fases del proyecto. Incluye el seguimiento del </w:t>
      </w:r>
      <w:r w:rsidR="00005548" w:rsidRPr="00005548">
        <w:rPr>
          <w:rFonts w:ascii="Arial" w:hAnsi="Arial" w:cs="Arial"/>
          <w:bCs/>
          <w:lang w:val="es-MX"/>
        </w:rPr>
        <w:t>director</w:t>
      </w:r>
      <w:r w:rsidR="00005548" w:rsidRPr="00005548">
        <w:rPr>
          <w:rFonts w:ascii="Arial" w:hAnsi="Arial" w:cs="Arial"/>
          <w:bCs/>
          <w:lang w:val="es-MX"/>
        </w:rPr>
        <w:t xml:space="preserve"> Académico en la rigurosidad científica y del Asesor Empresarial en la aplicación clínica de los resultados sobre los materiales PET-G y PU-Copolímero</w:t>
      </w:r>
    </w:p>
    <w:p w14:paraId="1EA63C71" w14:textId="5A533AB1" w:rsidR="00F9141B" w:rsidRPr="00F9141B" w:rsidRDefault="00F9141B" w:rsidP="00F9141B">
      <w:pPr>
        <w:rPr>
          <w:rFonts w:ascii="Arial" w:hAnsi="Arial" w:cs="Arial"/>
          <w:lang w:val="es-MX"/>
        </w:rPr>
      </w:pPr>
      <w:r w:rsidRPr="0086701D">
        <w:rPr>
          <w:rFonts w:ascii="Arial" w:hAnsi="Arial" w:cs="Arial"/>
          <w:i/>
          <w:iCs/>
          <w:lang w:val="es-MX"/>
        </w:rPr>
        <w:lastRenderedPageBreak/>
        <w:t>5. Bibliografía</w:t>
      </w:r>
      <w:r w:rsidR="0086701D" w:rsidRPr="0086701D">
        <w:rPr>
          <w:rFonts w:ascii="Arial" w:hAnsi="Arial" w:cs="Arial"/>
          <w:i/>
          <w:iCs/>
          <w:lang w:val="es-MX"/>
        </w:rPr>
        <w:t>:</w:t>
      </w:r>
      <w:r w:rsidR="0086701D">
        <w:rPr>
          <w:rFonts w:ascii="Arial" w:hAnsi="Arial" w:cs="Arial"/>
          <w:lang w:val="es-MX"/>
        </w:rPr>
        <w:t xml:space="preserve"> </w:t>
      </w:r>
      <w:r w:rsidR="00005548" w:rsidRPr="00005548">
        <w:rPr>
          <w:rFonts w:ascii="Arial" w:hAnsi="Arial" w:cs="Arial"/>
          <w:lang w:val="es-MX"/>
        </w:rPr>
        <w:t>adquisición de acceso formal a las normas internacionales ASTM D638, D790, D5024, D2990 y D3418. Esto garantiza que los protocolos de ensayo aplicados en las Fases 1, 2 y 3 tengan validez técnica y científica reproducible.</w:t>
      </w:r>
    </w:p>
    <w:p w14:paraId="448DC9B8" w14:textId="77777777" w:rsidR="00005548" w:rsidRDefault="00F9141B" w:rsidP="00005548">
      <w:pPr>
        <w:rPr>
          <w:rFonts w:ascii="Arial" w:hAnsi="Arial" w:cs="Arial"/>
        </w:rPr>
      </w:pPr>
      <w:r w:rsidRPr="004E7DC4">
        <w:rPr>
          <w:rFonts w:ascii="Arial" w:hAnsi="Arial" w:cs="Arial"/>
          <w:i/>
          <w:iCs/>
          <w:lang w:val="es-MX"/>
        </w:rPr>
        <w:t>7. Software</w:t>
      </w:r>
      <w:r w:rsidR="004E7DC4" w:rsidRPr="004E7DC4">
        <w:rPr>
          <w:rFonts w:ascii="Arial" w:hAnsi="Arial" w:cs="Arial"/>
          <w:i/>
          <w:iCs/>
          <w:lang w:val="es-MX"/>
        </w:rPr>
        <w:t>:</w:t>
      </w:r>
      <w:r w:rsidR="004E7DC4">
        <w:rPr>
          <w:rFonts w:ascii="Arial" w:hAnsi="Arial" w:cs="Arial"/>
          <w:lang w:val="es-MX"/>
        </w:rPr>
        <w:t xml:space="preserve"> </w:t>
      </w:r>
      <w:r w:rsidR="00005548" w:rsidRPr="00005548">
        <w:rPr>
          <w:rFonts w:ascii="Arial" w:hAnsi="Arial" w:cs="Arial"/>
        </w:rPr>
        <w:t>No se requiere la compra de licencias externas, ya que se utilizarán los recursos institucionales de la UAO. El procesamiento estadístico de los datos (ANOVA) y la visualización de resultados se realizarán mediante herramientas como Excel y Python.</w:t>
      </w:r>
    </w:p>
    <w:p w14:paraId="0B6283F1" w14:textId="59CDBB15" w:rsidR="00F9141B" w:rsidRPr="00312895" w:rsidRDefault="00F9141B" w:rsidP="00005548">
      <w:pPr>
        <w:rPr>
          <w:rFonts w:ascii="Arial" w:hAnsi="Arial" w:cs="Arial"/>
          <w:bCs/>
          <w:lang w:val="es-MX"/>
        </w:rPr>
      </w:pPr>
      <w:r w:rsidRPr="004E7DC4">
        <w:rPr>
          <w:rFonts w:ascii="Arial" w:hAnsi="Arial" w:cs="Arial"/>
          <w:i/>
          <w:iCs/>
        </w:rPr>
        <w:t>8. Materiales y equipos</w:t>
      </w:r>
      <w:r w:rsidR="004E7DC4" w:rsidRPr="004E7DC4">
        <w:rPr>
          <w:rFonts w:ascii="Arial" w:hAnsi="Arial" w:cs="Arial"/>
          <w:i/>
          <w:iCs/>
        </w:rPr>
        <w:t>:</w:t>
      </w:r>
      <w:r w:rsidR="004E7DC4">
        <w:rPr>
          <w:rFonts w:ascii="Arial" w:hAnsi="Arial" w:cs="Arial"/>
          <w:bCs/>
          <w:lang w:val="es-MX"/>
        </w:rPr>
        <w:t xml:space="preserve"> </w:t>
      </w:r>
      <w:r w:rsidR="004E7DC4" w:rsidRPr="00312895">
        <w:rPr>
          <w:rFonts w:ascii="Arial" w:hAnsi="Arial" w:cs="Arial"/>
          <w:bCs/>
          <w:lang w:val="es-MX"/>
        </w:rPr>
        <w:t>adquisición</w:t>
      </w:r>
      <w:r w:rsidR="00312895" w:rsidRPr="00312895">
        <w:rPr>
          <w:rFonts w:ascii="Arial" w:hAnsi="Arial" w:cs="Arial"/>
          <w:bCs/>
          <w:lang w:val="es-MX"/>
        </w:rPr>
        <w:t xml:space="preserve"> de</w:t>
      </w:r>
      <w:r w:rsidR="004E7DC4" w:rsidRPr="00312895">
        <w:rPr>
          <w:rFonts w:ascii="Arial" w:hAnsi="Arial" w:cs="Arial"/>
          <w:bCs/>
          <w:lang w:val="es-MX"/>
        </w:rPr>
        <w:t xml:space="preserve"> </w:t>
      </w:r>
      <w:r w:rsidR="00312895" w:rsidRPr="00312895">
        <w:rPr>
          <w:rFonts w:ascii="Arial" w:hAnsi="Arial" w:cs="Arial"/>
          <w:bCs/>
        </w:rPr>
        <w:t>láminas termoplásticas de PET-G (0,5 mm y 1,5 mm) y PU-Copolímero. También incluye la fabricación de modelos dentales estandarizados necesarios para la Fase 2 de termoformado y la obtención de probetas de ensayo que cumplan con las dimensiones exigidas por la norma ASTM D882 para láminas delgadas</w:t>
      </w:r>
      <w:r w:rsidR="00312895">
        <w:rPr>
          <w:rFonts w:ascii="Arial" w:hAnsi="Arial" w:cs="Arial"/>
          <w:bCs/>
        </w:rPr>
        <w:t>.</w:t>
      </w:r>
    </w:p>
    <w:p w14:paraId="1EFA528B" w14:textId="1775A1E4" w:rsidR="00D322D3" w:rsidRPr="00D322D3" w:rsidRDefault="00F9141B" w:rsidP="00312895">
      <w:pPr>
        <w:rPr>
          <w:rFonts w:ascii="Arial" w:hAnsi="Arial" w:cs="Arial"/>
          <w:b/>
          <w:lang w:val="es-MX"/>
        </w:rPr>
      </w:pPr>
      <w:r w:rsidRPr="004E7DC4">
        <w:rPr>
          <w:rFonts w:ascii="Arial" w:hAnsi="Arial" w:cs="Arial"/>
          <w:bCs/>
          <w:i/>
          <w:iCs/>
          <w:lang w:val="es-MX"/>
        </w:rPr>
        <w:t>9. Otros</w:t>
      </w:r>
      <w:r w:rsidR="004E7DC4" w:rsidRPr="004E7DC4">
        <w:rPr>
          <w:rFonts w:ascii="Arial" w:hAnsi="Arial" w:cs="Arial"/>
          <w:bCs/>
          <w:i/>
          <w:iCs/>
          <w:lang w:val="es-MX"/>
        </w:rPr>
        <w:t>:</w:t>
      </w:r>
      <w:r w:rsidR="004E7DC4">
        <w:rPr>
          <w:rFonts w:ascii="Arial" w:hAnsi="Arial" w:cs="Arial"/>
          <w:bCs/>
          <w:lang w:val="es-MX"/>
        </w:rPr>
        <w:t xml:space="preserve"> </w:t>
      </w:r>
      <w:r w:rsidR="00312895" w:rsidRPr="00312895">
        <w:rPr>
          <w:rFonts w:ascii="Arial" w:hAnsi="Arial" w:cs="Arial"/>
          <w:bCs/>
        </w:rPr>
        <w:t>Cubre los costos operativos de la Fase 1 y Fase 3, específicamente el corte CNC de alta precisión (±0,1 mm) para las probetas de tracción y flexión. Además, contempla los consumibles necesarios para la calibración de la cámara climática y el uso de extensómetros de alta resolución durante las pruebas de fluencia bajo condiciones intraorales simuladas.</w:t>
      </w:r>
    </w:p>
    <w:p w14:paraId="487B4AF5" w14:textId="77777777" w:rsidR="00F96F24" w:rsidRDefault="00F96F24" w:rsidP="00DB48DE">
      <w:pPr>
        <w:spacing w:after="0" w:line="240" w:lineRule="auto"/>
        <w:rPr>
          <w:rFonts w:ascii="Arial" w:hAnsi="Arial" w:cs="Arial"/>
          <w:b/>
          <w:color w:val="000000"/>
        </w:rPr>
      </w:pPr>
    </w:p>
    <w:p w14:paraId="554A307A" w14:textId="28E3DBFD" w:rsidR="008D4ADD" w:rsidRDefault="00DB48DE" w:rsidP="00DB48DE">
      <w:pPr>
        <w:spacing w:after="0" w:line="240" w:lineRule="auto"/>
        <w:rPr>
          <w:rFonts w:ascii="Arial" w:hAnsi="Arial" w:cs="Arial"/>
          <w:b/>
          <w:color w:val="000000"/>
        </w:rPr>
      </w:pPr>
      <w:r w:rsidRPr="00DB48DE">
        <w:rPr>
          <w:rFonts w:ascii="Arial" w:hAnsi="Arial" w:cs="Arial"/>
          <w:b/>
          <w:color w:val="000000"/>
        </w:rPr>
        <w:t>CRONOGRAMA</w:t>
      </w:r>
    </w:p>
    <w:tbl>
      <w:tblPr>
        <w:tblStyle w:val="Tablaconcuadrcula"/>
        <w:tblpPr w:leftFromText="141" w:rightFromText="141" w:vertAnchor="text" w:horzAnchor="page" w:tblpX="841" w:tblpY="119"/>
        <w:tblW w:w="10625" w:type="dxa"/>
        <w:tblLook w:val="04A0" w:firstRow="1" w:lastRow="0" w:firstColumn="1" w:lastColumn="0" w:noHBand="0" w:noVBand="1"/>
      </w:tblPr>
      <w:tblGrid>
        <w:gridCol w:w="2745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60"/>
        <w:gridCol w:w="560"/>
        <w:gridCol w:w="560"/>
        <w:gridCol w:w="560"/>
        <w:gridCol w:w="560"/>
        <w:gridCol w:w="560"/>
        <w:gridCol w:w="560"/>
      </w:tblGrid>
      <w:tr w:rsidR="00F96F24" w:rsidRPr="00322C8C" w14:paraId="389B66F2" w14:textId="77777777" w:rsidTr="006C681F">
        <w:trPr>
          <w:trHeight w:val="798"/>
        </w:trPr>
        <w:tc>
          <w:tcPr>
            <w:tcW w:w="2745" w:type="dxa"/>
            <w:vMerge w:val="restart"/>
            <w:vAlign w:val="center"/>
          </w:tcPr>
          <w:p w14:paraId="26E47835" w14:textId="1733B118" w:rsidR="00F96F24" w:rsidRPr="00F96F24" w:rsidRDefault="00F96F24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F96F24">
              <w:rPr>
                <w:rFonts w:ascii="Arial" w:hAnsi="Arial" w:cs="Arial"/>
                <w:b/>
                <w:lang w:val="es-MX"/>
              </w:rPr>
              <w:t>Etapas / Resultados</w:t>
            </w:r>
          </w:p>
        </w:tc>
        <w:tc>
          <w:tcPr>
            <w:tcW w:w="7880" w:type="dxa"/>
            <w:gridSpan w:val="16"/>
            <w:vAlign w:val="center"/>
          </w:tcPr>
          <w:p w14:paraId="211FE39B" w14:textId="7D707190" w:rsidR="00F96F24" w:rsidRPr="00322C8C" w:rsidRDefault="00F96F24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Semanas</w:t>
            </w:r>
          </w:p>
        </w:tc>
      </w:tr>
      <w:tr w:rsidR="00F96F24" w:rsidRPr="00322C8C" w14:paraId="71ED66B0" w14:textId="77777777" w:rsidTr="00F96F24">
        <w:trPr>
          <w:trHeight w:val="462"/>
        </w:trPr>
        <w:tc>
          <w:tcPr>
            <w:tcW w:w="2745" w:type="dxa"/>
            <w:vMerge/>
            <w:vAlign w:val="center"/>
          </w:tcPr>
          <w:p w14:paraId="346DFC0E" w14:textId="77777777" w:rsidR="00F96F24" w:rsidRPr="00F96F24" w:rsidRDefault="00F96F24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A6B6BAA" w14:textId="417FD38F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</w:t>
            </w:r>
          </w:p>
        </w:tc>
        <w:tc>
          <w:tcPr>
            <w:tcW w:w="440" w:type="dxa"/>
            <w:vAlign w:val="center"/>
          </w:tcPr>
          <w:p w14:paraId="060E5D03" w14:textId="5FE3EBB7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2</w:t>
            </w:r>
          </w:p>
        </w:tc>
        <w:tc>
          <w:tcPr>
            <w:tcW w:w="440" w:type="dxa"/>
            <w:vAlign w:val="center"/>
          </w:tcPr>
          <w:p w14:paraId="7012E021" w14:textId="45D6B25B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3</w:t>
            </w:r>
          </w:p>
        </w:tc>
        <w:tc>
          <w:tcPr>
            <w:tcW w:w="440" w:type="dxa"/>
            <w:vAlign w:val="center"/>
          </w:tcPr>
          <w:p w14:paraId="1F2D39FE" w14:textId="588535F5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4</w:t>
            </w:r>
          </w:p>
        </w:tc>
        <w:tc>
          <w:tcPr>
            <w:tcW w:w="440" w:type="dxa"/>
            <w:vAlign w:val="center"/>
          </w:tcPr>
          <w:p w14:paraId="25167D3F" w14:textId="0973DD3C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5</w:t>
            </w:r>
          </w:p>
        </w:tc>
        <w:tc>
          <w:tcPr>
            <w:tcW w:w="440" w:type="dxa"/>
            <w:vAlign w:val="center"/>
          </w:tcPr>
          <w:p w14:paraId="6ACFA7A9" w14:textId="3CFB097C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6</w:t>
            </w:r>
          </w:p>
        </w:tc>
        <w:tc>
          <w:tcPr>
            <w:tcW w:w="440" w:type="dxa"/>
            <w:vAlign w:val="center"/>
          </w:tcPr>
          <w:p w14:paraId="3B5FED10" w14:textId="05A7A6DA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7</w:t>
            </w:r>
          </w:p>
        </w:tc>
        <w:tc>
          <w:tcPr>
            <w:tcW w:w="440" w:type="dxa"/>
            <w:vAlign w:val="center"/>
          </w:tcPr>
          <w:p w14:paraId="6A166397" w14:textId="0BB8B3A5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8</w:t>
            </w:r>
          </w:p>
        </w:tc>
        <w:tc>
          <w:tcPr>
            <w:tcW w:w="440" w:type="dxa"/>
            <w:vAlign w:val="center"/>
          </w:tcPr>
          <w:p w14:paraId="77F77D75" w14:textId="47D06821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9</w:t>
            </w:r>
          </w:p>
        </w:tc>
        <w:tc>
          <w:tcPr>
            <w:tcW w:w="560" w:type="dxa"/>
            <w:vAlign w:val="center"/>
          </w:tcPr>
          <w:p w14:paraId="6C94D708" w14:textId="2C306E8A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560" w:type="dxa"/>
            <w:vAlign w:val="center"/>
          </w:tcPr>
          <w:p w14:paraId="250A2C8B" w14:textId="74141D3B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560" w:type="dxa"/>
            <w:vAlign w:val="center"/>
          </w:tcPr>
          <w:p w14:paraId="125B93DC" w14:textId="65F44383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12</w:t>
            </w:r>
          </w:p>
        </w:tc>
        <w:tc>
          <w:tcPr>
            <w:tcW w:w="560" w:type="dxa"/>
            <w:vAlign w:val="center"/>
          </w:tcPr>
          <w:p w14:paraId="5E441DB6" w14:textId="29799FF8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13</w:t>
            </w:r>
          </w:p>
        </w:tc>
        <w:tc>
          <w:tcPr>
            <w:tcW w:w="560" w:type="dxa"/>
            <w:vAlign w:val="center"/>
          </w:tcPr>
          <w:p w14:paraId="7634B132" w14:textId="60D49CDA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14</w:t>
            </w:r>
          </w:p>
        </w:tc>
        <w:tc>
          <w:tcPr>
            <w:tcW w:w="560" w:type="dxa"/>
            <w:vAlign w:val="center"/>
          </w:tcPr>
          <w:p w14:paraId="5E7EC273" w14:textId="233B60B9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15</w:t>
            </w:r>
          </w:p>
        </w:tc>
        <w:tc>
          <w:tcPr>
            <w:tcW w:w="560" w:type="dxa"/>
            <w:vAlign w:val="center"/>
          </w:tcPr>
          <w:p w14:paraId="3FF69636" w14:textId="190BFF5C" w:rsidR="00F96F24" w:rsidRPr="00322C8C" w:rsidRDefault="00F96F24" w:rsidP="00F96F24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16</w:t>
            </w:r>
          </w:p>
        </w:tc>
      </w:tr>
      <w:tr w:rsidR="00322C8C" w:rsidRPr="00322C8C" w14:paraId="317A7BE3" w14:textId="77777777" w:rsidTr="00F96F24">
        <w:trPr>
          <w:trHeight w:val="787"/>
        </w:trPr>
        <w:tc>
          <w:tcPr>
            <w:tcW w:w="2745" w:type="dxa"/>
            <w:vAlign w:val="center"/>
          </w:tcPr>
          <w:p w14:paraId="0602E00B" w14:textId="63752765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Fase 1: Caracterización Inicial</w:t>
            </w:r>
          </w:p>
        </w:tc>
        <w:tc>
          <w:tcPr>
            <w:tcW w:w="440" w:type="dxa"/>
            <w:vAlign w:val="center"/>
          </w:tcPr>
          <w:p w14:paraId="3759BE7E" w14:textId="4954FFC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08EDBFF8" w14:textId="49912E9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23EA388E" w14:textId="2C18082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6B88608C" w14:textId="66F39B8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69ECC734" w14:textId="2AA3B59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BA308E8" w14:textId="6579FFE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8997F26" w14:textId="145B148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AFD0F6" w14:textId="052FC0E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AF04674" w14:textId="1407744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ECBCF37" w14:textId="7D04508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BD97395" w14:textId="2993617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033E5B0" w14:textId="160E816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1FF3A25" w14:textId="4585F85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76699E7" w14:textId="3F962CB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62AE977" w14:textId="7F3DC73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74B5D10" w14:textId="001049F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279DDD6D" w14:textId="77777777" w:rsidTr="00F96F24">
        <w:trPr>
          <w:trHeight w:val="787"/>
        </w:trPr>
        <w:tc>
          <w:tcPr>
            <w:tcW w:w="2745" w:type="dxa"/>
            <w:vAlign w:val="center"/>
          </w:tcPr>
          <w:p w14:paraId="42EF8849" w14:textId="4D06B9EE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Acondicionamiento láminas</w:t>
            </w:r>
          </w:p>
        </w:tc>
        <w:tc>
          <w:tcPr>
            <w:tcW w:w="440" w:type="dxa"/>
            <w:vAlign w:val="center"/>
          </w:tcPr>
          <w:p w14:paraId="7A4C23AB" w14:textId="25785C4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56015E71" w14:textId="1577E67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D90F0B1" w14:textId="33D0DCD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C6E6F66" w14:textId="6EB5D34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3B45F45" w14:textId="5076AE6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9B78AEC" w14:textId="740D38A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15943B2" w14:textId="3A44127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886D3D6" w14:textId="60858CB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779A039" w14:textId="7E7328E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0045844" w14:textId="22F443F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1BAECF7" w14:textId="0FE10B5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B218569" w14:textId="477BE41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0080A81" w14:textId="76E9182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F87A5FE" w14:textId="6750379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1F7E4C8" w14:textId="0B71179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E109629" w14:textId="0CA2A1C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6F092039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6E4467E0" w14:textId="5EA41967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Corte CNC probetas</w:t>
            </w:r>
          </w:p>
        </w:tc>
        <w:tc>
          <w:tcPr>
            <w:tcW w:w="440" w:type="dxa"/>
            <w:vAlign w:val="center"/>
          </w:tcPr>
          <w:p w14:paraId="5151EEF1" w14:textId="4318604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4F48630D" w14:textId="63A85B9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270CB8D9" w14:textId="4CCE874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E1C2F7B" w14:textId="2A29477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A564293" w14:textId="0CA7D72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A44C06B" w14:textId="1DF4F59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A96997F" w14:textId="597E6B3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E8B61B2" w14:textId="61E3C9C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42FCB38" w14:textId="7AC115A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894105D" w14:textId="5C69C97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344A4B7" w14:textId="6162D3D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B6FCDA8" w14:textId="2765B16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B318352" w14:textId="03529AA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58799BC" w14:textId="1303A5E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E219CEF" w14:textId="0E0143D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A8E5C48" w14:textId="6194C90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25DF6374" w14:textId="77777777" w:rsidTr="00F96F24">
        <w:trPr>
          <w:trHeight w:val="517"/>
        </w:trPr>
        <w:tc>
          <w:tcPr>
            <w:tcW w:w="2745" w:type="dxa"/>
            <w:vAlign w:val="center"/>
          </w:tcPr>
          <w:p w14:paraId="4C261C00" w14:textId="4801E4B6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Ensayos tracción y flexión</w:t>
            </w:r>
          </w:p>
        </w:tc>
        <w:tc>
          <w:tcPr>
            <w:tcW w:w="440" w:type="dxa"/>
            <w:vAlign w:val="center"/>
          </w:tcPr>
          <w:p w14:paraId="6D0CF80D" w14:textId="0BAFFC4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594F293" w14:textId="796DE15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E2AC1F3" w14:textId="0769E31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95F6B3C" w14:textId="043A2DE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CA19C1C" w14:textId="5045BD6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6EEECAAA" w14:textId="5EF3C5F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59E1DC8F" w14:textId="48FE8D1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8D73D14" w14:textId="6876941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44F0E06" w14:textId="281B810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7D9A2EA" w14:textId="4230F6F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34BE7B1" w14:textId="6B7FB91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2042E5E" w14:textId="1DEBE91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573A769" w14:textId="7E59F37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0EA4A21" w14:textId="5BDD18F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72A8571" w14:textId="4C133FD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54E1566" w14:textId="198567A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496444AB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05F710F7" w14:textId="01B8CF7E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Entregable 1</w:t>
            </w:r>
          </w:p>
        </w:tc>
        <w:tc>
          <w:tcPr>
            <w:tcW w:w="440" w:type="dxa"/>
            <w:vAlign w:val="center"/>
          </w:tcPr>
          <w:p w14:paraId="72529391" w14:textId="29FCBAC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4F41896" w14:textId="5F95A83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3601687" w14:textId="0B62A9D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84CD8F7" w14:textId="631938A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72C3DBE" w14:textId="599F18F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7497CD6" w14:textId="19C1C0F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946FD47" w14:textId="391500C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36F56F8" w14:textId="75CB907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168618E" w14:textId="1D72B5B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C7348FE" w14:textId="54B32BF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DC43242" w14:textId="78AB6D5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AC8DCBB" w14:textId="638D7F2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6C8A1BD" w14:textId="4655284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9F1A527" w14:textId="4BF735C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659ACAB" w14:textId="65D8365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94224B7" w14:textId="32AA8AC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7319F373" w14:textId="77777777" w:rsidTr="00F96F24">
        <w:trPr>
          <w:trHeight w:val="517"/>
        </w:trPr>
        <w:tc>
          <w:tcPr>
            <w:tcW w:w="2745" w:type="dxa"/>
            <w:vAlign w:val="center"/>
          </w:tcPr>
          <w:p w14:paraId="26AB21D3" w14:textId="63810838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Fase 2: Termoformado</w:t>
            </w:r>
          </w:p>
        </w:tc>
        <w:tc>
          <w:tcPr>
            <w:tcW w:w="440" w:type="dxa"/>
            <w:vAlign w:val="center"/>
          </w:tcPr>
          <w:p w14:paraId="0E3D5CFE" w14:textId="682530D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3253EBC" w14:textId="75CED86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6E4908F" w14:textId="1B4FF74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98A84C2" w14:textId="65CD2F6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213D2E7" w14:textId="09BC592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0D8ECC40" w14:textId="239792B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A3E6F0B" w14:textId="34330D4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0836D0E4" w14:textId="5E3D65F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9F870C7" w14:textId="747EA8D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B0B53BE" w14:textId="3A1F818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C986482" w14:textId="65B971B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D54A9D1" w14:textId="164C202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403818F" w14:textId="0179FAC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58DFB22" w14:textId="3F96FEE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2E7F2F7" w14:textId="1EBEF1B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7609645" w14:textId="1E4BC51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1CAF700B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459D847A" w14:textId="1DFDCD49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 xml:space="preserve">Termoformado </w:t>
            </w:r>
          </w:p>
        </w:tc>
        <w:tc>
          <w:tcPr>
            <w:tcW w:w="440" w:type="dxa"/>
            <w:vAlign w:val="center"/>
          </w:tcPr>
          <w:p w14:paraId="46F02658" w14:textId="3CB2E5A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5FBD8A3" w14:textId="3621FA8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9B29073" w14:textId="509527B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25C5E33" w14:textId="0520ADE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C969CDF" w14:textId="46974D6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690D08C0" w14:textId="3581716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415A3C3" w14:textId="41E7BE4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D384CE7" w14:textId="727C79E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EB0453" w14:textId="2C5E266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A11A5CA" w14:textId="32F51FC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21214B7" w14:textId="00D0082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AB1A49F" w14:textId="47D4ABB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C053038" w14:textId="44CD2BA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E17A09E" w14:textId="0E10A19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B79CA27" w14:textId="2F14550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A4D24A4" w14:textId="3A0FD83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5408B8C7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116A268C" w14:textId="68387EB9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Extracción probetas</w:t>
            </w:r>
          </w:p>
        </w:tc>
        <w:tc>
          <w:tcPr>
            <w:tcW w:w="440" w:type="dxa"/>
            <w:vAlign w:val="center"/>
          </w:tcPr>
          <w:p w14:paraId="30558674" w14:textId="5A6262C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C13CF74" w14:textId="0B74A23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F0A81A2" w14:textId="1480191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11C24A7" w14:textId="114F133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FB6FDCC" w14:textId="21A0337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A3360DC" w14:textId="3B8D0E7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5017CB63" w14:textId="095F96B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BE26B48" w14:textId="3324C55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83A8C95" w14:textId="24B3678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93031C0" w14:textId="1198A15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8F19C3E" w14:textId="2771FF3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803DC59" w14:textId="5B57AEF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7293CC4" w14:textId="4DDF8A4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40CFD8D" w14:textId="13C986A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167D59A" w14:textId="353EECD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77A4472" w14:textId="4A0FB9F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75EDAAF4" w14:textId="77777777" w:rsidTr="00F96F24">
        <w:trPr>
          <w:trHeight w:val="517"/>
        </w:trPr>
        <w:tc>
          <w:tcPr>
            <w:tcW w:w="2745" w:type="dxa"/>
            <w:vAlign w:val="center"/>
          </w:tcPr>
          <w:p w14:paraId="6DA5918B" w14:textId="479A7E92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Ensayos mecánicos DSC</w:t>
            </w:r>
          </w:p>
        </w:tc>
        <w:tc>
          <w:tcPr>
            <w:tcW w:w="440" w:type="dxa"/>
            <w:vAlign w:val="center"/>
          </w:tcPr>
          <w:p w14:paraId="03CD66E1" w14:textId="0CF6768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9F07012" w14:textId="662E5B4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808546F" w14:textId="1B6FC5A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29BDD66" w14:textId="29FD4C0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08958F1" w14:textId="7559F47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025C295" w14:textId="1704703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A6AE57" w14:textId="2051D8E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C7B0747" w14:textId="7CF4C9D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440" w:type="dxa"/>
            <w:vAlign w:val="center"/>
          </w:tcPr>
          <w:p w14:paraId="36D2EB73" w14:textId="55EFA10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49F62E5" w14:textId="65009F3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1A1D1B3" w14:textId="63E90AD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7F65FB9" w14:textId="7E52090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1C30FAF" w14:textId="2C3289A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33D527D" w14:textId="29D863D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2925BCE" w14:textId="6D7A756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3D8C8DF" w14:textId="0DF71C3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3BC64ABB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39C44D39" w14:textId="721578F3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Entregable 2</w:t>
            </w:r>
          </w:p>
        </w:tc>
        <w:tc>
          <w:tcPr>
            <w:tcW w:w="440" w:type="dxa"/>
            <w:vAlign w:val="center"/>
          </w:tcPr>
          <w:p w14:paraId="3AD363D7" w14:textId="3CCDE69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AAA0AAB" w14:textId="4214AA8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8681A9C" w14:textId="2DDF4EF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CD1C05E" w14:textId="6AE63E7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5CDACFD" w14:textId="1DF72D0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E7253C1" w14:textId="2E88330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03F80B" w14:textId="3A1B3FB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A4F8B3F" w14:textId="4267CF4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89DD425" w14:textId="07AF57A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79E04443" w14:textId="6CC3867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BA7C0B7" w14:textId="240ACF1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D99086A" w14:textId="4DB8487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2E4C5D7" w14:textId="31C0577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D86A232" w14:textId="3AE85B7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10930E2" w14:textId="7F09483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8A503F9" w14:textId="2223F5A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081A95C1" w14:textId="77777777" w:rsidTr="00F96F24">
        <w:trPr>
          <w:trHeight w:val="787"/>
        </w:trPr>
        <w:tc>
          <w:tcPr>
            <w:tcW w:w="2745" w:type="dxa"/>
            <w:vAlign w:val="center"/>
          </w:tcPr>
          <w:p w14:paraId="412DA9CC" w14:textId="2ACC12DF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lastRenderedPageBreak/>
              <w:t>Fase 3: Microambiente y Fluencia</w:t>
            </w:r>
          </w:p>
        </w:tc>
        <w:tc>
          <w:tcPr>
            <w:tcW w:w="440" w:type="dxa"/>
            <w:vAlign w:val="center"/>
          </w:tcPr>
          <w:p w14:paraId="0FD7C3FD" w14:textId="71FCCBD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3868252" w14:textId="0A25580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A427395" w14:textId="55AF5C8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258F545" w14:textId="437ECD7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9C61F3F" w14:textId="729E11B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0A9A328" w14:textId="3519B8F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6E50542" w14:textId="36DA041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B0772A4" w14:textId="64DBEC2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7C5EA3A" w14:textId="7E062BF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1EB7753C" w14:textId="641E2B3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7F19412E" w14:textId="6A4671A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06E67F5F" w14:textId="0971767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53B10427" w14:textId="60D964F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8F91F30" w14:textId="0F02BC4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82E582B" w14:textId="76FEEA1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4F93A65" w14:textId="2C67EB9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1EDEA93B" w14:textId="77777777" w:rsidTr="00F96F24">
        <w:trPr>
          <w:trHeight w:val="528"/>
        </w:trPr>
        <w:tc>
          <w:tcPr>
            <w:tcW w:w="2745" w:type="dxa"/>
            <w:vAlign w:val="center"/>
          </w:tcPr>
          <w:p w14:paraId="7EEFD45E" w14:textId="50DCE86A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Envejecimiento acelerado</w:t>
            </w:r>
          </w:p>
        </w:tc>
        <w:tc>
          <w:tcPr>
            <w:tcW w:w="440" w:type="dxa"/>
            <w:vAlign w:val="center"/>
          </w:tcPr>
          <w:p w14:paraId="51B31062" w14:textId="45CD0C9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D8871B7" w14:textId="6668CDC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67F6BD2" w14:textId="5DAB2BB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158382B" w14:textId="0AB94FA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06FC480" w14:textId="023134F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AD25E82" w14:textId="34C9171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806C4E" w14:textId="218855E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0C7C653" w14:textId="0655644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B103DC2" w14:textId="684424D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691E32FC" w14:textId="5322366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4696E2F6" w14:textId="628DA09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58DC30C" w14:textId="6E56FA9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A80685E" w14:textId="19D8CAC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B30C327" w14:textId="2CE8E0D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8BB8350" w14:textId="7D06145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CA96D3B" w14:textId="6D47E41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4A7996D5" w14:textId="77777777" w:rsidTr="00F96F24">
        <w:trPr>
          <w:trHeight w:val="355"/>
        </w:trPr>
        <w:tc>
          <w:tcPr>
            <w:tcW w:w="2745" w:type="dxa"/>
            <w:vAlign w:val="center"/>
          </w:tcPr>
          <w:p w14:paraId="5F0F0749" w14:textId="7B781804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Fluencia e integridad</w:t>
            </w:r>
          </w:p>
        </w:tc>
        <w:tc>
          <w:tcPr>
            <w:tcW w:w="440" w:type="dxa"/>
            <w:vAlign w:val="center"/>
          </w:tcPr>
          <w:p w14:paraId="5E9766F7" w14:textId="493E393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155FDB3" w14:textId="732655E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AF2B26B" w14:textId="20BBB94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BB3660D" w14:textId="5CC05BA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C5EB685" w14:textId="5A899EC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88CF630" w14:textId="6C9C916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2CD8288" w14:textId="4D83123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1154EE2" w14:textId="385E436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98005C7" w14:textId="134CE9E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F6A6D52" w14:textId="08B6768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0F0CE50" w14:textId="6C4DE43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71279FA3" w14:textId="3083B34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1824227C" w14:textId="4781E64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D4BA2AC" w14:textId="5D6B9B0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9AC8018" w14:textId="0426B9E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9BAE9DF" w14:textId="5CB6976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025CDA9B" w14:textId="77777777" w:rsidTr="00F96F24">
        <w:trPr>
          <w:trHeight w:val="258"/>
        </w:trPr>
        <w:tc>
          <w:tcPr>
            <w:tcW w:w="2745" w:type="dxa"/>
            <w:vAlign w:val="center"/>
          </w:tcPr>
          <w:p w14:paraId="359C58E0" w14:textId="6927885A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Entregable 3</w:t>
            </w:r>
          </w:p>
        </w:tc>
        <w:tc>
          <w:tcPr>
            <w:tcW w:w="440" w:type="dxa"/>
            <w:vAlign w:val="center"/>
          </w:tcPr>
          <w:p w14:paraId="4A0A47A4" w14:textId="2CA6E19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76B363F" w14:textId="1929A2E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70CD64B" w14:textId="6D5BE04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285D90F" w14:textId="78B79B2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3E4D7CF" w14:textId="36C8B43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D38055A" w14:textId="4CB7462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93246C7" w14:textId="2E0A1BC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8D22E84" w14:textId="54D89F8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24F38D9" w14:textId="156D9A2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444ADD4" w14:textId="28C05B6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9CD856A" w14:textId="768075C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C8426D3" w14:textId="393460C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4D23508" w14:textId="1314598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4F495F94" w14:textId="0EBA77B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CE48B47" w14:textId="228F76C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6C00CD0" w14:textId="74CBAAB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3D2ECA32" w14:textId="77777777" w:rsidTr="00F96F24">
        <w:trPr>
          <w:trHeight w:val="269"/>
        </w:trPr>
        <w:tc>
          <w:tcPr>
            <w:tcW w:w="2745" w:type="dxa"/>
            <w:vAlign w:val="center"/>
          </w:tcPr>
          <w:p w14:paraId="3F3B264E" w14:textId="3D90A59D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Fase 4: Análisis</w:t>
            </w:r>
          </w:p>
        </w:tc>
        <w:tc>
          <w:tcPr>
            <w:tcW w:w="440" w:type="dxa"/>
            <w:vAlign w:val="center"/>
          </w:tcPr>
          <w:p w14:paraId="5B394871" w14:textId="712E419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F9CFA2E" w14:textId="16980C1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4369C78" w14:textId="6215738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E1D4E55" w14:textId="6BFEB8D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552E933" w14:textId="2606216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8C90698" w14:textId="543BDAF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330ED07C" w14:textId="174BDCD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A60E1AA" w14:textId="54641D4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1BE0E93" w14:textId="1FC3888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341F2C0" w14:textId="2B59802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40A5EF5" w14:textId="2397361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CE9A11D" w14:textId="7B02A78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9D6CAA6" w14:textId="6687357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2029188D" w14:textId="3E02E11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639F8F52" w14:textId="2B3D5D8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7B4A1C2B" w14:textId="6C3A0DD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5B3A8C65" w14:textId="77777777" w:rsidTr="00F96F24">
        <w:trPr>
          <w:trHeight w:val="258"/>
        </w:trPr>
        <w:tc>
          <w:tcPr>
            <w:tcW w:w="2745" w:type="dxa"/>
            <w:vAlign w:val="center"/>
          </w:tcPr>
          <w:p w14:paraId="470FA3C0" w14:textId="2DBA577F" w:rsidR="00322C8C" w:rsidRPr="00F96F24" w:rsidRDefault="00322C8C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ANOVA</w:t>
            </w:r>
          </w:p>
        </w:tc>
        <w:tc>
          <w:tcPr>
            <w:tcW w:w="440" w:type="dxa"/>
            <w:vAlign w:val="center"/>
          </w:tcPr>
          <w:p w14:paraId="3E09D072" w14:textId="60BB628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98E7B22" w14:textId="0FBFA22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A169967" w14:textId="45BC3BC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007B3ED" w14:textId="614D64E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28E44B7" w14:textId="7124F38B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6EF1479" w14:textId="319FFE7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CF12054" w14:textId="61F2663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971FD19" w14:textId="2B4801E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50785F7" w14:textId="047ED8E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CAB456D" w14:textId="1154272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1932144" w14:textId="646DF79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4701029" w14:textId="69BFB36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A28C272" w14:textId="36DFCFC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18B8692E" w14:textId="4332879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5A7D469" w14:textId="0489841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28CC405" w14:textId="2A9CB84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53C8A2F8" w14:textId="77777777" w:rsidTr="00F96F24">
        <w:trPr>
          <w:trHeight w:val="314"/>
        </w:trPr>
        <w:tc>
          <w:tcPr>
            <w:tcW w:w="2745" w:type="dxa"/>
            <w:vAlign w:val="center"/>
          </w:tcPr>
          <w:p w14:paraId="7028DF45" w14:textId="0F2B92EA" w:rsidR="00322C8C" w:rsidRPr="00F96F24" w:rsidRDefault="00F96F24" w:rsidP="00F96F24">
            <w:pPr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Comparaciones materiales</w:t>
            </w:r>
          </w:p>
        </w:tc>
        <w:tc>
          <w:tcPr>
            <w:tcW w:w="440" w:type="dxa"/>
            <w:vAlign w:val="center"/>
          </w:tcPr>
          <w:p w14:paraId="6B0A5F70" w14:textId="67DC3CC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7FC31D2" w14:textId="0713BE2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10FE894" w14:textId="1B73030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A5A64D0" w14:textId="264754F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8DA3A88" w14:textId="19928D0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7044B5E" w14:textId="2637FE9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ACC5ECA" w14:textId="4D2F76B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0D5D5F27" w14:textId="30E9643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21800B5" w14:textId="04B5FB0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DDFF9AA" w14:textId="546D0B9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1479EDC4" w14:textId="7662B94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4A3272F" w14:textId="446BE58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2230BA5" w14:textId="7A51B0E0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5827D0D" w14:textId="0EA0F15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6A0439D5" w14:textId="4F574A4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F2B7F9D" w14:textId="62CA78E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40A658EA" w14:textId="77777777" w:rsidTr="00F96F24">
        <w:trPr>
          <w:trHeight w:val="258"/>
        </w:trPr>
        <w:tc>
          <w:tcPr>
            <w:tcW w:w="2745" w:type="dxa"/>
            <w:vAlign w:val="center"/>
          </w:tcPr>
          <w:p w14:paraId="5320ED4B" w14:textId="29F6069F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Informe final</w:t>
            </w:r>
          </w:p>
        </w:tc>
        <w:tc>
          <w:tcPr>
            <w:tcW w:w="440" w:type="dxa"/>
            <w:vAlign w:val="center"/>
          </w:tcPr>
          <w:p w14:paraId="313C47FD" w14:textId="5E68C2F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70A28468" w14:textId="740BBF2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5BE7F45" w14:textId="01B194C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8254CB7" w14:textId="14A4C2E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9FCC95E" w14:textId="0FD5C508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1C60087" w14:textId="16F4755D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40F0BAA" w14:textId="3B471FC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103F63AF" w14:textId="329A77C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ADFEBC4" w14:textId="6AF1AB0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B64AB13" w14:textId="543B7CBE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003CEE5" w14:textId="092D644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3D24FC9C" w14:textId="2D6C0CA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4EFBC935" w14:textId="252DF98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C62DC9C" w14:textId="3EE63EB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67B604CB" w14:textId="70FEC6D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4CE2BB75" w14:textId="791E34E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322C8C" w:rsidRPr="00322C8C" w14:paraId="7E241CB2" w14:textId="77777777" w:rsidTr="00F96F24">
        <w:trPr>
          <w:trHeight w:val="258"/>
        </w:trPr>
        <w:tc>
          <w:tcPr>
            <w:tcW w:w="2745" w:type="dxa"/>
            <w:vAlign w:val="center"/>
          </w:tcPr>
          <w:p w14:paraId="48ADE099" w14:textId="244D1822" w:rsidR="00322C8C" w:rsidRPr="00F96F24" w:rsidRDefault="00322C8C" w:rsidP="00F96F24">
            <w:pPr>
              <w:jc w:val="center"/>
              <w:rPr>
                <w:rFonts w:ascii="Arial" w:hAnsi="Arial" w:cs="Arial"/>
                <w:bCs/>
                <w:lang w:val="es-MX"/>
              </w:rPr>
            </w:pPr>
            <w:r w:rsidRPr="00F96F24">
              <w:rPr>
                <w:rFonts w:ascii="Arial" w:hAnsi="Arial" w:cs="Arial"/>
                <w:bCs/>
                <w:lang w:val="es-MX"/>
              </w:rPr>
              <w:t>Entregable Final</w:t>
            </w:r>
          </w:p>
        </w:tc>
        <w:tc>
          <w:tcPr>
            <w:tcW w:w="440" w:type="dxa"/>
            <w:vAlign w:val="center"/>
          </w:tcPr>
          <w:p w14:paraId="518E3462" w14:textId="3CA38F97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77C7588" w14:textId="69C8796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CB5CBC1" w14:textId="4AE58329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455693CA" w14:textId="61E59E9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5707CB5" w14:textId="41014FB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76CFACD" w14:textId="6A5BB89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5ADE7C83" w14:textId="5BC5003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245B98F7" w14:textId="2FA576BA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440" w:type="dxa"/>
            <w:vAlign w:val="center"/>
          </w:tcPr>
          <w:p w14:paraId="6907FA5E" w14:textId="79C87B02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21CE2A7" w14:textId="1B23F9D5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59302032" w14:textId="4E342ED4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264FFE00" w14:textId="42F55BAC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65D005B0" w14:textId="59CABB76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787719E9" w14:textId="51867FDF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60" w:type="dxa"/>
            <w:vAlign w:val="center"/>
          </w:tcPr>
          <w:p w14:paraId="0C29EBD8" w14:textId="6BCF4111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  <w:tc>
          <w:tcPr>
            <w:tcW w:w="560" w:type="dxa"/>
            <w:vAlign w:val="center"/>
          </w:tcPr>
          <w:p w14:paraId="3F497C09" w14:textId="64E18FC3" w:rsidR="00322C8C" w:rsidRPr="00322C8C" w:rsidRDefault="00322C8C" w:rsidP="00F96F24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322C8C">
              <w:rPr>
                <w:rFonts w:ascii="Arial" w:hAnsi="Arial" w:cs="Arial"/>
                <w:b/>
                <w:lang w:val="es-MX"/>
              </w:rPr>
              <w:t>X</w:t>
            </w:r>
          </w:p>
        </w:tc>
      </w:tr>
    </w:tbl>
    <w:p w14:paraId="51AAAF41" w14:textId="77777777" w:rsidR="009B6A4E" w:rsidRDefault="009B6A4E" w:rsidP="00DB48DE">
      <w:pPr>
        <w:spacing w:after="0" w:line="240" w:lineRule="auto"/>
        <w:rPr>
          <w:rFonts w:ascii="Arial" w:hAnsi="Arial" w:cs="Arial"/>
          <w:b/>
          <w:color w:val="000000"/>
        </w:rPr>
      </w:pPr>
    </w:p>
    <w:p w14:paraId="44C753ED" w14:textId="77777777" w:rsidR="00322C8C" w:rsidRDefault="00322C8C" w:rsidP="00DB48DE">
      <w:pPr>
        <w:spacing w:after="0" w:line="240" w:lineRule="auto"/>
        <w:rPr>
          <w:rFonts w:ascii="Arial" w:hAnsi="Arial" w:cs="Arial"/>
          <w:b/>
          <w:color w:val="000000"/>
        </w:rPr>
      </w:pPr>
    </w:p>
    <w:p w14:paraId="1A329190" w14:textId="77777777" w:rsidR="008D4ADD" w:rsidRPr="00DB48DE" w:rsidRDefault="008D4ADD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  <w:lang w:val="es-MX"/>
        </w:rPr>
      </w:pPr>
    </w:p>
    <w:p w14:paraId="2107019A" w14:textId="77777777" w:rsidR="008D4ADD" w:rsidRPr="00DB48DE" w:rsidRDefault="00DB4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 xml:space="preserve">BIBLIOGRAFÍA </w:t>
      </w:r>
    </w:p>
    <w:p w14:paraId="24D544F1" w14:textId="77777777" w:rsidR="009A3385" w:rsidRPr="00DB48DE" w:rsidRDefault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lang w:val="es-MX"/>
        </w:rPr>
      </w:pPr>
    </w:p>
    <w:p w14:paraId="24C29CC8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 xml:space="preserve">[1] ASTM International, ASTM D638-21: Standard test method for tensile properties of plastics, ASTM, 2021. </w:t>
      </w:r>
      <w:hyperlink r:id="rId8" w:history="1">
        <w:r w:rsidRPr="00DB48DE">
          <w:rPr>
            <w:rStyle w:val="Hipervnculo"/>
            <w:rFonts w:ascii="Arial" w:hAnsi="Arial" w:cs="Arial"/>
            <w:lang w:val="en-US"/>
          </w:rPr>
          <w:t>https://www.astm.org/Standards/D638.htm</w:t>
        </w:r>
      </w:hyperlink>
    </w:p>
    <w:p w14:paraId="59056638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3F2F49B6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>[2] ASTM International, ASTM D790-20: Standard test methods for flexural properties of unreinforced and reinforced plastics, ASTM, 2020. https://www.astm.org/Standards/D790.htm</w:t>
      </w:r>
    </w:p>
    <w:p w14:paraId="142B9D04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68336A62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>[3] ASTM International, ASTM D5024-19: Standard test method for measurement of dynamic mechanical properties of polymeric materials, ASTM, 2019. https://www.astm.org/Standards/D5024.htm</w:t>
      </w:r>
    </w:p>
    <w:p w14:paraId="178519D4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683CA6E4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>[4] ASTM International, ASTM D2990-20: Standard test methods for tensile, compressive, and flexural creep and creep-rupture of plastics, ASTM, 2020. https://www.astm.org/Standards/D2990.htm</w:t>
      </w:r>
    </w:p>
    <w:p w14:paraId="79DB609A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7015E3BC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6A0E7F">
        <w:rPr>
          <w:rFonts w:ascii="Arial" w:hAnsi="Arial" w:cs="Arial"/>
          <w:highlight w:val="yellow"/>
          <w:lang w:val="en-US"/>
        </w:rPr>
        <w:t>[5] ASTM International, ASTM D3418-22: Standard test method for transition temperatures and enthalpies of fusion and crystallization of polymers by differential scanning calorimetry, ASTM, 2022. https://www.astm.org/Standards/D3418.htm</w:t>
      </w:r>
    </w:p>
    <w:p w14:paraId="12CEA3CD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1C6EB6BB" w14:textId="77777777" w:rsidR="009A3385" w:rsidRPr="00DB48DE" w:rsidRDefault="009A3385" w:rsidP="006A0E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 xml:space="preserve">[6] </w:t>
      </w:r>
      <w:r w:rsidR="006A0E7F" w:rsidRPr="006A0E7F">
        <w:rPr>
          <w:rFonts w:ascii="Arial" w:hAnsi="Arial" w:cs="Arial"/>
          <w:lang w:val="en-US"/>
        </w:rPr>
        <w:t xml:space="preserve">Liu, M., Wang, Y., Bian, C., Han, Y., Qin, X., Sun, J., Bai, Y., &amp; Zhang, N. (2025). Comparative mechanical performance of thermoplastic materials for clear aligners under simulated oral conditions. </w:t>
      </w:r>
      <w:r w:rsidR="006A0E7F" w:rsidRPr="006A0E7F">
        <w:rPr>
          <w:rFonts w:ascii="Arial" w:hAnsi="Arial" w:cs="Arial"/>
          <w:i/>
          <w:iCs/>
          <w:lang w:val="en-US"/>
        </w:rPr>
        <w:t xml:space="preserve">The Korean Journal </w:t>
      </w:r>
      <w:proofErr w:type="gramStart"/>
      <w:r w:rsidR="006A0E7F" w:rsidRPr="006A0E7F">
        <w:rPr>
          <w:rFonts w:ascii="Arial" w:hAnsi="Arial" w:cs="Arial"/>
          <w:i/>
          <w:iCs/>
          <w:lang w:val="en-US"/>
        </w:rPr>
        <w:t>Of</w:t>
      </w:r>
      <w:proofErr w:type="gramEnd"/>
      <w:r w:rsidR="006A0E7F" w:rsidRPr="006A0E7F">
        <w:rPr>
          <w:rFonts w:ascii="Arial" w:hAnsi="Arial" w:cs="Arial"/>
          <w:i/>
          <w:iCs/>
          <w:lang w:val="en-US"/>
        </w:rPr>
        <w:t xml:space="preserve"> Orthodontics</w:t>
      </w:r>
      <w:r w:rsidR="006A0E7F" w:rsidRPr="006A0E7F">
        <w:rPr>
          <w:rFonts w:ascii="Arial" w:hAnsi="Arial" w:cs="Arial"/>
          <w:lang w:val="en-US"/>
        </w:rPr>
        <w:t xml:space="preserve">, </w:t>
      </w:r>
      <w:r w:rsidR="006A0E7F" w:rsidRPr="006A0E7F">
        <w:rPr>
          <w:rFonts w:ascii="Arial" w:hAnsi="Arial" w:cs="Arial"/>
          <w:i/>
          <w:iCs/>
          <w:lang w:val="en-US"/>
        </w:rPr>
        <w:t>55</w:t>
      </w:r>
      <w:r w:rsidR="006A0E7F" w:rsidRPr="006A0E7F">
        <w:rPr>
          <w:rFonts w:ascii="Arial" w:hAnsi="Arial" w:cs="Arial"/>
          <w:lang w:val="en-US"/>
        </w:rPr>
        <w:t>(5), 380-391. https://doi.org/10.4041/kjod25.094</w:t>
      </w:r>
      <w:r w:rsidR="006A0E7F">
        <w:rPr>
          <w:rFonts w:ascii="Arial" w:hAnsi="Arial" w:cs="Arial"/>
          <w:lang w:val="en-US"/>
        </w:rPr>
        <w:t xml:space="preserve"> </w:t>
      </w:r>
    </w:p>
    <w:p w14:paraId="5E64F3CE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61EA17CD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  <w:r w:rsidRPr="00DB48DE">
        <w:rPr>
          <w:rFonts w:ascii="Arial" w:hAnsi="Arial" w:cs="Arial"/>
          <w:lang w:val="en-US"/>
        </w:rPr>
        <w:t>[7] “Effects of Thermoforming on the Mechanical, Optical, Chemical, and Morphological Properties of PET-G: In Vitro Study,” Polymers, vol. 16, no. 2, 2024. https://www.mdpi.com/2073-4360/16/2/203</w:t>
      </w:r>
    </w:p>
    <w:p w14:paraId="6C9FF7E0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lang w:val="en-US"/>
        </w:rPr>
      </w:pPr>
    </w:p>
    <w:p w14:paraId="4FF53580" w14:textId="77777777" w:rsidR="008D4ADD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lang w:val="en-US"/>
        </w:rPr>
      </w:pPr>
      <w:r w:rsidRPr="00DB48DE">
        <w:rPr>
          <w:rFonts w:ascii="Arial" w:hAnsi="Arial" w:cs="Arial"/>
          <w:lang w:val="en-US"/>
        </w:rPr>
        <w:t>[8] A. K. Papadopoulou et al., “Changes in roughness and mechanical properties of Invisalign® appliances after one- and two-weeks use,” Materials (Basel), vol. 12, no. 15, p. 2406, 2019. https://pubmed.ncbi.nlm.nih.gov/31357697/</w:t>
      </w:r>
    </w:p>
    <w:p w14:paraId="0D124359" w14:textId="77777777" w:rsidR="009A3385" w:rsidRPr="00DB48DE" w:rsidRDefault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/>
          <w:lang w:val="en-US"/>
        </w:rPr>
      </w:pPr>
    </w:p>
    <w:p w14:paraId="10AE6AA0" w14:textId="77777777" w:rsidR="009A3385" w:rsidRPr="00DB48DE" w:rsidRDefault="00183791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bookmarkStart w:id="0" w:name="_heading=h.gjdgxs" w:colFirst="0" w:colLast="0"/>
      <w:bookmarkEnd w:id="0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</w:t>
      </w:r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[8] J. Li, J. Si, C. Xue, y H. Xu, «Seeking </w:t>
      </w:r>
      <w:proofErr w:type="spellStart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>orderness</w:t>
      </w:r>
      <w:proofErr w:type="spellEnd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out of the orderless movements: an up-to-date review of the biomechanics in clear aligners», Progress </w:t>
      </w:r>
      <w:proofErr w:type="gramStart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>In</w:t>
      </w:r>
      <w:proofErr w:type="gramEnd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Orthodontics, vol. 25, </w:t>
      </w:r>
      <w:proofErr w:type="spellStart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>n.o</w:t>
      </w:r>
      <w:proofErr w:type="spellEnd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1, p. 44, </w:t>
      </w:r>
      <w:proofErr w:type="spellStart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>nov.</w:t>
      </w:r>
      <w:proofErr w:type="spellEnd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2024, </w:t>
      </w:r>
      <w:proofErr w:type="spellStart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>doi</w:t>
      </w:r>
      <w:proofErr w:type="spellEnd"/>
      <w:r w:rsidR="009A3385" w:rsidRPr="00DB48DE">
        <w:rPr>
          <w:rFonts w:ascii="Arial" w:eastAsia="Arial" w:hAnsi="Arial" w:cs="Arial"/>
          <w:i/>
          <w:color w:val="000000" w:themeColor="text1"/>
          <w:lang w:val="en-US"/>
        </w:rPr>
        <w:t>: 10.1186/s40510-024-00543-1.</w:t>
      </w:r>
    </w:p>
    <w:p w14:paraId="0E3D45EF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5FB09214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>[</w:t>
      </w:r>
      <w:proofErr w:type="gram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9]J.</w:t>
      </w:r>
      <w:proofErr w:type="gram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I. Delgado, P.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Kehyaian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, y J. P. Fernández-Blázquez, «Thermoplastics for Clear Aligners: A Review», Polymers, vol. 17,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n.o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12, p. 1681, jun. 2025,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doi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>: 10.3390/polym17121681.</w:t>
      </w:r>
    </w:p>
    <w:p w14:paraId="13E0E235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</w:t>
      </w:r>
    </w:p>
    <w:p w14:paraId="3552D609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[10] F. Tamburrino, V. D’Antò, R. Bucci, G. Alessandri-Bonetti, S. Barone, y A. V.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Razionale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, «Mechanical Properties of Thermoplastic Polymers for Aligner Manufacturing: In Vitro Study», Dentistry Journal, vol. 8,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n.o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2, p. 47, </w:t>
      </w:r>
      <w:proofErr w:type="gram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may</w:t>
      </w:r>
      <w:proofErr w:type="gram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2020,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doi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>: 10.3390/dj8020047.</w:t>
      </w:r>
    </w:p>
    <w:p w14:paraId="45E9D563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36AC00B2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>[11] T. M. Elshazly et al</w:t>
      </w:r>
      <w:proofErr w:type="gram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., «</w:t>
      </w:r>
      <w:proofErr w:type="gram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Effect of material composition and thickness of orthodontic aligners on the transmission and distribution of forces: an in vitro </w:t>
      </w:r>
      <w:proofErr w:type="gram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study»,</w:t>
      </w:r>
      <w:proofErr w:type="gram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Clinical Oral Investigations, vol. 28,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n.o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5, p. 258, abr. 2024,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doi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>: 10.1007/s00784-024-05662-x.</w:t>
      </w:r>
    </w:p>
    <w:p w14:paraId="7FA37C4F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3DE4E620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[12] K.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Siotou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et al., «The Mechanical Properties of Orthodontic Aligners of Clear Aligner After Intraoral Use in Different Time Periods», Orthodontics </w:t>
      </w:r>
      <w:proofErr w:type="gram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And</w:t>
      </w:r>
      <w:proofErr w:type="gram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Craniofacial Research, vol. 28,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n.o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2, pp. 253-260, oct. 2024,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doi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>: 10.1111/ocr.12867.</w:t>
      </w:r>
    </w:p>
    <w:p w14:paraId="115D242F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3D41C849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[13] M. Bhate y S. Nagesh, «Assessment of the Effect of Thermoforming Process and Simulated Aging on the Mechanical Properties of Clear Aligner Material», Cureus, vol. 16,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n.o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7, p. e64933,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jul.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2024,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doi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>: 10.7759/cureus.64933.</w:t>
      </w:r>
    </w:p>
    <w:p w14:paraId="1FAD6E9D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5B794B8F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[14] Y. M.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Bichu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et al</w:t>
      </w:r>
      <w:proofErr w:type="gram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., «</w:t>
      </w:r>
      <w:proofErr w:type="gram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Advances in orthodontic clear aligner </w:t>
      </w:r>
      <w:proofErr w:type="gram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materials»,</w:t>
      </w:r>
      <w:proofErr w:type="gram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Bioactive Materials, vol. 22, pp. 384-403, oct. 2022,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doi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>: 10.1016/j.bioactmat.2022.10.006.</w:t>
      </w:r>
    </w:p>
    <w:p w14:paraId="57549493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62D4AD42" w14:textId="77777777" w:rsidR="008D4ADD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[15] J. Monisha y E. Peter, «Efficacy of clear aligner wear protocols in orthodontic tooth movement—a systematic review», European Journal </w:t>
      </w:r>
      <w:proofErr w:type="gram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Of</w:t>
      </w:r>
      <w:proofErr w:type="gram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Orthodontics, vol. 46,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n.o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 xml:space="preserve"> 3, abr. 2024, 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doi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>: 10.1093/</w:t>
      </w:r>
      <w:proofErr w:type="spellStart"/>
      <w:r w:rsidRPr="00DB48DE">
        <w:rPr>
          <w:rFonts w:ascii="Arial" w:eastAsia="Arial" w:hAnsi="Arial" w:cs="Arial"/>
          <w:i/>
          <w:color w:val="000000" w:themeColor="text1"/>
          <w:lang w:val="en-US"/>
        </w:rPr>
        <w:t>ejo</w:t>
      </w:r>
      <w:proofErr w:type="spellEnd"/>
      <w:r w:rsidRPr="00DB48DE">
        <w:rPr>
          <w:rFonts w:ascii="Arial" w:eastAsia="Arial" w:hAnsi="Arial" w:cs="Arial"/>
          <w:i/>
          <w:color w:val="000000" w:themeColor="text1"/>
          <w:lang w:val="en-US"/>
        </w:rPr>
        <w:t>/cjae020.</w:t>
      </w:r>
    </w:p>
    <w:p w14:paraId="14079F5C" w14:textId="77777777" w:rsidR="009A3385" w:rsidRPr="00DB48DE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lang w:val="en-US"/>
        </w:rPr>
      </w:pPr>
    </w:p>
    <w:p w14:paraId="037952DC" w14:textId="77777777" w:rsidR="009A3385" w:rsidRDefault="009A3385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lang w:val="en-US"/>
        </w:rPr>
      </w:pPr>
      <w:r w:rsidRPr="00DB48DE">
        <w:rPr>
          <w:rFonts w:ascii="Arial" w:hAnsi="Arial" w:cs="Arial"/>
          <w:color w:val="000000"/>
          <w:lang w:val="en-US"/>
        </w:rPr>
        <w:t xml:space="preserve">[16] S. Barone, A. Paoli, P. Neri, A. V. </w:t>
      </w:r>
      <w:proofErr w:type="spellStart"/>
      <w:r w:rsidRPr="00DB48DE">
        <w:rPr>
          <w:rFonts w:ascii="Arial" w:hAnsi="Arial" w:cs="Arial"/>
          <w:color w:val="000000"/>
          <w:lang w:val="en-US"/>
        </w:rPr>
        <w:t>Razionale</w:t>
      </w:r>
      <w:proofErr w:type="spellEnd"/>
      <w:r w:rsidRPr="00DB48DE">
        <w:rPr>
          <w:rFonts w:ascii="Arial" w:hAnsi="Arial" w:cs="Arial"/>
          <w:color w:val="000000"/>
          <w:lang w:val="en-US"/>
        </w:rPr>
        <w:t xml:space="preserve">, y M. </w:t>
      </w:r>
      <w:proofErr w:type="spellStart"/>
      <w:proofErr w:type="gramStart"/>
      <w:r w:rsidRPr="00DB48DE">
        <w:rPr>
          <w:rFonts w:ascii="Arial" w:hAnsi="Arial" w:cs="Arial"/>
          <w:color w:val="000000"/>
          <w:lang w:val="en-US"/>
        </w:rPr>
        <w:t>Giannese</w:t>
      </w:r>
      <w:proofErr w:type="spellEnd"/>
      <w:r w:rsidRPr="00DB48DE">
        <w:rPr>
          <w:rFonts w:ascii="Arial" w:hAnsi="Arial" w:cs="Arial"/>
          <w:color w:val="000000"/>
          <w:lang w:val="en-US"/>
        </w:rPr>
        <w:t>, «</w:t>
      </w:r>
      <w:proofErr w:type="gramEnd"/>
      <w:r w:rsidRPr="00DB48DE">
        <w:rPr>
          <w:rFonts w:ascii="Arial" w:hAnsi="Arial" w:cs="Arial"/>
          <w:color w:val="000000"/>
          <w:lang w:val="en-US"/>
        </w:rPr>
        <w:t xml:space="preserve">Mechanical and Geometrical Properties Assessment of Thermoplastic Materials for Biomedical </w:t>
      </w:r>
      <w:proofErr w:type="gramStart"/>
      <w:r w:rsidRPr="00DB48DE">
        <w:rPr>
          <w:rFonts w:ascii="Arial" w:hAnsi="Arial" w:cs="Arial"/>
          <w:color w:val="000000"/>
          <w:lang w:val="en-US"/>
        </w:rPr>
        <w:t>Application»,</w:t>
      </w:r>
      <w:proofErr w:type="gramEnd"/>
      <w:r w:rsidRPr="00DB48D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DB48DE">
        <w:rPr>
          <w:rFonts w:ascii="Arial" w:hAnsi="Arial" w:cs="Arial"/>
          <w:color w:val="000000"/>
          <w:lang w:val="en-US"/>
        </w:rPr>
        <w:t>en</w:t>
      </w:r>
      <w:proofErr w:type="spellEnd"/>
      <w:r w:rsidRPr="00DB48DE">
        <w:rPr>
          <w:rFonts w:ascii="Arial" w:hAnsi="Arial" w:cs="Arial"/>
          <w:color w:val="000000"/>
          <w:lang w:val="en-US"/>
        </w:rPr>
        <w:t xml:space="preserve"> Lecture notes in mechanical engineering, 2016, pp. 437-446. </w:t>
      </w:r>
      <w:proofErr w:type="spellStart"/>
      <w:r w:rsidRPr="00DB48DE">
        <w:rPr>
          <w:rFonts w:ascii="Arial" w:hAnsi="Arial" w:cs="Arial"/>
          <w:color w:val="000000"/>
          <w:lang w:val="en-US"/>
        </w:rPr>
        <w:t>doi</w:t>
      </w:r>
      <w:proofErr w:type="spellEnd"/>
      <w:r w:rsidRPr="00DB48DE">
        <w:rPr>
          <w:rFonts w:ascii="Arial" w:hAnsi="Arial" w:cs="Arial"/>
          <w:color w:val="000000"/>
          <w:lang w:val="en-US"/>
        </w:rPr>
        <w:t>: 10.1007/978-3-319-45781-9_44.</w:t>
      </w:r>
    </w:p>
    <w:p w14:paraId="606C6B81" w14:textId="77777777" w:rsidR="00D93B54" w:rsidRDefault="00D93B54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lang w:val="en-US"/>
        </w:rPr>
      </w:pPr>
    </w:p>
    <w:p w14:paraId="3A652CCC" w14:textId="77777777" w:rsidR="00D93B54" w:rsidRPr="00D93B54" w:rsidRDefault="00D93B54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 xml:space="preserve">[17] </w:t>
      </w:r>
      <w:r>
        <w:rPr>
          <w:rFonts w:ascii="Arial" w:hAnsi="Arial" w:cs="Arial"/>
          <w:lang w:val="en-US"/>
        </w:rPr>
        <w:t>ASTM International, ASTM D882-02 o 12:</w:t>
      </w:r>
      <w:r w:rsidRPr="00D93B54">
        <w:rPr>
          <w:lang w:val="en-US"/>
        </w:rPr>
        <w:t xml:space="preserve"> </w:t>
      </w:r>
      <w:r w:rsidRPr="00D93B54">
        <w:rPr>
          <w:rFonts w:ascii="Arial" w:hAnsi="Arial" w:cs="Arial"/>
          <w:lang w:val="en-US"/>
        </w:rPr>
        <w:t>Standard Test Method for Tensile Properties of Thin Plastic Sheeting</w:t>
      </w:r>
      <w:r>
        <w:rPr>
          <w:rFonts w:ascii="Arial" w:hAnsi="Arial" w:cs="Arial"/>
          <w:lang w:val="en-US"/>
        </w:rPr>
        <w:t>, ASTM, n/a</w:t>
      </w:r>
    </w:p>
    <w:p w14:paraId="56746E64" w14:textId="77777777" w:rsidR="009A3385" w:rsidRPr="009A3385" w:rsidRDefault="00D56B36" w:rsidP="009A33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 w:themeColor="text1"/>
          <w:szCs w:val="20"/>
          <w:lang w:val="en-US"/>
        </w:rPr>
      </w:pPr>
      <w:r>
        <w:rPr>
          <w:rFonts w:ascii="Arial" w:eastAsia="Arial" w:hAnsi="Arial" w:cs="Arial"/>
          <w:i/>
          <w:color w:val="000000" w:themeColor="text1"/>
          <w:szCs w:val="20"/>
          <w:lang w:val="en-US"/>
        </w:rPr>
        <w:br/>
        <w:t>2hx17 x</w:t>
      </w:r>
      <w:r w:rsidRPr="00D93B54">
        <w:rPr>
          <w:rFonts w:ascii="Arial" w:hAnsi="Arial" w:cs="Arial"/>
          <w:color w:val="E3E3E3"/>
          <w:sz w:val="21"/>
          <w:szCs w:val="21"/>
          <w:shd w:val="clear" w:color="auto" w:fill="303030"/>
          <w:lang w:val="en-US"/>
        </w:rPr>
        <w:t xml:space="preserve"> 91.940</w:t>
      </w:r>
    </w:p>
    <w:sectPr w:rsidR="009A3385" w:rsidRPr="009A338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BC5CB" w14:textId="77777777" w:rsidR="00A92D91" w:rsidRDefault="00A92D91" w:rsidP="00B95040">
      <w:pPr>
        <w:spacing w:after="0" w:line="240" w:lineRule="auto"/>
      </w:pPr>
      <w:r>
        <w:separator/>
      </w:r>
    </w:p>
  </w:endnote>
  <w:endnote w:type="continuationSeparator" w:id="0">
    <w:p w14:paraId="213D4320" w14:textId="77777777" w:rsidR="00A92D91" w:rsidRDefault="00A92D91" w:rsidP="00B95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05653" w14:textId="77777777" w:rsidR="00A92D91" w:rsidRDefault="00A92D91" w:rsidP="00B95040">
      <w:pPr>
        <w:spacing w:after="0" w:line="240" w:lineRule="auto"/>
      </w:pPr>
      <w:r>
        <w:separator/>
      </w:r>
    </w:p>
  </w:footnote>
  <w:footnote w:type="continuationSeparator" w:id="0">
    <w:p w14:paraId="79498B85" w14:textId="77777777" w:rsidR="00A92D91" w:rsidRDefault="00A92D91" w:rsidP="00B95040">
      <w:pPr>
        <w:spacing w:after="0" w:line="240" w:lineRule="auto"/>
      </w:pPr>
      <w:r>
        <w:continuationSeparator/>
      </w:r>
    </w:p>
  </w:footnote>
  <w:footnote w:id="1">
    <w:p w14:paraId="442122FB" w14:textId="0E2F06D1" w:rsidR="00120D2E" w:rsidRPr="00F9141B" w:rsidRDefault="00F9141B" w:rsidP="00120D2E">
      <w:pPr>
        <w:pStyle w:val="Sinespaciado"/>
        <w:rPr>
          <w:rFonts w:ascii="Arial" w:hAnsi="Arial" w:cs="Arial"/>
          <w:sz w:val="20"/>
          <w:szCs w:val="20"/>
        </w:rPr>
      </w:pPr>
      <w:r w:rsidRPr="00F9141B">
        <w:rPr>
          <w:rStyle w:val="Refdenotaalpie"/>
          <w:rFonts w:ascii="Arial" w:hAnsi="Arial" w:cs="Arial"/>
        </w:rPr>
        <w:t>1</w:t>
      </w:r>
      <w:r w:rsidRPr="00F9141B">
        <w:rPr>
          <w:rFonts w:ascii="Arial" w:hAnsi="Arial" w:cs="Arial"/>
          <w:sz w:val="20"/>
          <w:szCs w:val="20"/>
        </w:rPr>
        <w:t xml:space="preserve">. </w:t>
      </w:r>
      <w:r w:rsidRPr="00F9141B">
        <w:rPr>
          <w:rFonts w:ascii="Arial" w:hAnsi="Arial" w:cs="Arial"/>
          <w:sz w:val="20"/>
          <w:szCs w:val="20"/>
        </w:rPr>
        <w:t>Software: licencias universitarias UAO.</w:t>
      </w:r>
      <w:r w:rsidRPr="00F9141B">
        <w:rPr>
          <w:rFonts w:ascii="Arial" w:hAnsi="Arial" w:cs="Arial"/>
          <w:sz w:val="20"/>
          <w:szCs w:val="20"/>
        </w:rPr>
        <w:br/>
      </w:r>
      <w:r w:rsidRPr="00F9141B">
        <w:rPr>
          <w:rFonts w:ascii="Arial" w:hAnsi="Arial" w:cs="Arial"/>
          <w:sz w:val="20"/>
          <w:szCs w:val="20"/>
          <w:vertAlign w:val="superscript"/>
        </w:rPr>
        <w:t>2</w:t>
      </w:r>
      <w:r w:rsidRPr="00F9141B">
        <w:rPr>
          <w:rFonts w:ascii="Arial" w:hAnsi="Arial" w:cs="Arial"/>
          <w:sz w:val="20"/>
          <w:szCs w:val="20"/>
        </w:rPr>
        <w:t xml:space="preserve">. </w:t>
      </w:r>
      <w:r w:rsidRPr="00F9141B">
        <w:rPr>
          <w:rFonts w:ascii="Arial" w:hAnsi="Arial" w:cs="Arial"/>
          <w:sz w:val="20"/>
          <w:szCs w:val="20"/>
        </w:rPr>
        <w:t>Materiales y equipos: láminas PET-G y PU-Copolímero para alineadores dentales (precios mercado Colombia 2026).</w:t>
      </w:r>
    </w:p>
  </w:footnote>
  <w:footnote w:id="2">
    <w:p w14:paraId="4647DBAA" w14:textId="77777777" w:rsidR="00120D2E" w:rsidRDefault="00120D2E" w:rsidP="00120D2E">
      <w:pPr>
        <w:pStyle w:val="Textonotapi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F7398"/>
    <w:multiLevelType w:val="hybridMultilevel"/>
    <w:tmpl w:val="DC4858E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5D1F12"/>
    <w:multiLevelType w:val="multilevel"/>
    <w:tmpl w:val="482E6E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6FDF1C22"/>
    <w:multiLevelType w:val="multilevel"/>
    <w:tmpl w:val="D55CAE7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num w:numId="1" w16cid:durableId="328217013">
    <w:abstractNumId w:val="2"/>
  </w:num>
  <w:num w:numId="2" w16cid:durableId="746921932">
    <w:abstractNumId w:val="0"/>
  </w:num>
  <w:num w:numId="3" w16cid:durableId="204178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ADD"/>
    <w:rsid w:val="00005548"/>
    <w:rsid w:val="00030BC7"/>
    <w:rsid w:val="001049BD"/>
    <w:rsid w:val="00120D2E"/>
    <w:rsid w:val="001508D4"/>
    <w:rsid w:val="00152282"/>
    <w:rsid w:val="00183791"/>
    <w:rsid w:val="001A18F2"/>
    <w:rsid w:val="001E0C9C"/>
    <w:rsid w:val="002818A2"/>
    <w:rsid w:val="00312895"/>
    <w:rsid w:val="00322C8C"/>
    <w:rsid w:val="003A3C9B"/>
    <w:rsid w:val="00411B39"/>
    <w:rsid w:val="00413C02"/>
    <w:rsid w:val="00455E95"/>
    <w:rsid w:val="00471309"/>
    <w:rsid w:val="004A5A2D"/>
    <w:rsid w:val="004E7DC4"/>
    <w:rsid w:val="00573E63"/>
    <w:rsid w:val="005C24EA"/>
    <w:rsid w:val="005D35EB"/>
    <w:rsid w:val="005E7F5C"/>
    <w:rsid w:val="005F0E04"/>
    <w:rsid w:val="005F3BEB"/>
    <w:rsid w:val="00622D21"/>
    <w:rsid w:val="006A0E7F"/>
    <w:rsid w:val="006D00CC"/>
    <w:rsid w:val="006E7A28"/>
    <w:rsid w:val="00757230"/>
    <w:rsid w:val="00764AF4"/>
    <w:rsid w:val="007B6D10"/>
    <w:rsid w:val="007C3B3D"/>
    <w:rsid w:val="008161A7"/>
    <w:rsid w:val="0082034B"/>
    <w:rsid w:val="008318DE"/>
    <w:rsid w:val="0086701D"/>
    <w:rsid w:val="00884732"/>
    <w:rsid w:val="008D4ADD"/>
    <w:rsid w:val="00915FF7"/>
    <w:rsid w:val="009374F2"/>
    <w:rsid w:val="009A2ECC"/>
    <w:rsid w:val="009A3385"/>
    <w:rsid w:val="009B6A4E"/>
    <w:rsid w:val="00A650EE"/>
    <w:rsid w:val="00A71DA5"/>
    <w:rsid w:val="00A92D91"/>
    <w:rsid w:val="00AF6D9E"/>
    <w:rsid w:val="00B35672"/>
    <w:rsid w:val="00B7393A"/>
    <w:rsid w:val="00B95040"/>
    <w:rsid w:val="00BF0B02"/>
    <w:rsid w:val="00C86B12"/>
    <w:rsid w:val="00CA5CCC"/>
    <w:rsid w:val="00CB4246"/>
    <w:rsid w:val="00D11840"/>
    <w:rsid w:val="00D322D3"/>
    <w:rsid w:val="00D56B36"/>
    <w:rsid w:val="00D93B54"/>
    <w:rsid w:val="00DB48DE"/>
    <w:rsid w:val="00EA27D9"/>
    <w:rsid w:val="00EB6E1F"/>
    <w:rsid w:val="00ED5ED9"/>
    <w:rsid w:val="00F421A3"/>
    <w:rsid w:val="00F56C55"/>
    <w:rsid w:val="00F9141B"/>
    <w:rsid w:val="00F9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6DE85"/>
  <w15:docId w15:val="{1528D005-F387-47DE-B12C-00BF6E36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540A32"/>
    <w:pPr>
      <w:spacing w:after="0" w:line="240" w:lineRule="auto"/>
    </w:pPr>
    <w:rPr>
      <w:rFonts w:cs="Times New Roman"/>
    </w:rPr>
  </w:style>
  <w:style w:type="paragraph" w:styleId="Prrafodelista">
    <w:name w:val="List Paragraph"/>
    <w:basedOn w:val="Normal"/>
    <w:uiPriority w:val="34"/>
    <w:qFormat/>
    <w:rsid w:val="00CA55AD"/>
    <w:pPr>
      <w:ind w:left="720"/>
      <w:contextualSpacing/>
    </w:pPr>
  </w:style>
  <w:style w:type="table" w:styleId="Tablaconcuadrcula">
    <w:name w:val="Table Grid"/>
    <w:basedOn w:val="Tablanormal"/>
    <w:uiPriority w:val="39"/>
    <w:rsid w:val="00AF5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2605A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605AD"/>
    <w:rPr>
      <w:sz w:val="20"/>
      <w:szCs w:val="20"/>
    </w:rPr>
  </w:style>
  <w:style w:type="character" w:styleId="Refdenotaalpie">
    <w:name w:val="footnote reference"/>
    <w:basedOn w:val="Fuentedeprrafopredeter"/>
    <w:semiHidden/>
    <w:unhideWhenUsed/>
    <w:rsid w:val="002605AD"/>
    <w:rPr>
      <w:vertAlign w:val="superscript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orrarComentarios">
    <w:name w:val="BorrarComentarios"/>
    <w:basedOn w:val="Normal"/>
    <w:link w:val="BorrarComentariosCar"/>
    <w:qFormat/>
    <w:rsid w:val="00B95040"/>
    <w:pPr>
      <w:spacing w:after="240" w:line="240" w:lineRule="auto"/>
      <w:jc w:val="both"/>
    </w:pPr>
    <w:rPr>
      <w:rFonts w:ascii="Arial" w:hAnsi="Arial" w:cs="Times New Roman"/>
      <w:color w:val="0000FF"/>
      <w:sz w:val="24"/>
      <w:lang w:eastAsia="en-US"/>
    </w:rPr>
  </w:style>
  <w:style w:type="character" w:styleId="Hipervnculo">
    <w:name w:val="Hyperlink"/>
    <w:uiPriority w:val="99"/>
    <w:unhideWhenUsed/>
    <w:rsid w:val="00B95040"/>
    <w:rPr>
      <w:color w:val="0000FF"/>
      <w:u w:val="single"/>
    </w:rPr>
  </w:style>
  <w:style w:type="character" w:customStyle="1" w:styleId="BorrarComentariosCar">
    <w:name w:val="BorrarComentarios Car"/>
    <w:link w:val="BorrarComentarios"/>
    <w:rsid w:val="00B95040"/>
    <w:rPr>
      <w:rFonts w:ascii="Arial" w:hAnsi="Arial" w:cs="Times New Roman"/>
      <w:color w:val="0000FF"/>
      <w:sz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A0E7F"/>
    <w:rPr>
      <w:rFonts w:ascii="Times New Roman" w:hAnsi="Times New Roman" w:cs="Times New Roman"/>
      <w:sz w:val="24"/>
      <w:szCs w:val="24"/>
    </w:rPr>
  </w:style>
  <w:style w:type="table" w:styleId="Tablaconcuadrculaclara">
    <w:name w:val="Grid Table Light"/>
    <w:basedOn w:val="Tablanormal"/>
    <w:uiPriority w:val="40"/>
    <w:rsid w:val="00322C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5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72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23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tm.org/Standards/D638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hzYnhPd+1znaEZwvwzs7AIUX3w==">AMUW2mUgjy/RMt5jFKKg0qDwj97440ghZw9VWAQxWamVETo4ru8X10K5uSnDJI/TnNyl9nQxInTUvqd56nkcEx4CCyZ9AbrAwj8pWrh1GlSyIrSuRTKjmHebQGbCmMFBqMCKgjlSxDP4DQo8jOkvEtkz0lWD0+75dHWNaZaZBf/PJRxRWTRiWj29WP6PB/BvQoFzFe5kupgRbNPu6vIK8k83bFam/YCYOA==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2535</Words>
  <Characters>13944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Lyda Peña Paz</dc:creator>
  <cp:lastModifiedBy>Nelson Steven Santos Gonzalez</cp:lastModifiedBy>
  <cp:revision>2</cp:revision>
  <dcterms:created xsi:type="dcterms:W3CDTF">2026-04-06T06:02:00Z</dcterms:created>
  <dcterms:modified xsi:type="dcterms:W3CDTF">2026-04-06T06:02:00Z</dcterms:modified>
</cp:coreProperties>
</file>