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76" w:lineRule="auto"/>
        <w:jc w:val="center"/>
        <w:rPr>
          <w:sz w:val="38"/>
          <w:szCs w:val="38"/>
        </w:rPr>
      </w:pPr>
      <w:r w:rsidDel="00000000" w:rsidR="00000000" w:rsidRPr="00000000">
        <w:rPr>
          <w:sz w:val="38"/>
          <w:szCs w:val="38"/>
          <w:rtl w:val="0"/>
        </w:rPr>
        <w:t xml:space="preserve">Resumen de la propuesta técnica </w:t>
      </w:r>
    </w:p>
    <w:p w:rsidR="00000000" w:rsidDel="00000000" w:rsidP="00000000" w:rsidRDefault="00000000" w:rsidRPr="00000000" w14:paraId="00000003">
      <w:pPr>
        <w:spacing w:line="276" w:lineRule="auto"/>
        <w:jc w:val="center"/>
        <w:rPr>
          <w:sz w:val="38"/>
          <w:szCs w:val="38"/>
        </w:rPr>
      </w:pPr>
      <w:r w:rsidDel="00000000" w:rsidR="00000000" w:rsidRPr="00000000">
        <w:rPr>
          <w:rtl w:val="0"/>
        </w:rPr>
      </w:r>
    </w:p>
    <w:p w:rsidR="00000000" w:rsidDel="00000000" w:rsidP="00000000" w:rsidRDefault="00000000" w:rsidRPr="00000000" w14:paraId="00000004">
      <w:pPr>
        <w:spacing w:line="276" w:lineRule="auto"/>
        <w:jc w:val="center"/>
        <w:rPr>
          <w:sz w:val="38"/>
          <w:szCs w:val="38"/>
        </w:rPr>
      </w:pPr>
      <w:r w:rsidDel="00000000" w:rsidR="00000000" w:rsidRPr="00000000">
        <w:rPr>
          <w:rtl w:val="0"/>
        </w:rPr>
      </w:r>
    </w:p>
    <w:p w:rsidR="00000000" w:rsidDel="00000000" w:rsidP="00000000" w:rsidRDefault="00000000" w:rsidRPr="00000000" w14:paraId="00000005">
      <w:pPr>
        <w:spacing w:line="276" w:lineRule="auto"/>
        <w:jc w:val="center"/>
        <w:rPr>
          <w:sz w:val="38"/>
          <w:szCs w:val="38"/>
        </w:rPr>
      </w:pPr>
      <w:r w:rsidDel="00000000" w:rsidR="00000000" w:rsidRPr="00000000">
        <w:rPr>
          <w:sz w:val="38"/>
          <w:szCs w:val="38"/>
          <w:rtl w:val="0"/>
        </w:rPr>
        <w:t xml:space="preserve">Presentado por:</w:t>
      </w:r>
    </w:p>
    <w:p w:rsidR="00000000" w:rsidDel="00000000" w:rsidP="00000000" w:rsidRDefault="00000000" w:rsidRPr="00000000" w14:paraId="00000006">
      <w:pPr>
        <w:spacing w:line="276" w:lineRule="auto"/>
        <w:jc w:val="center"/>
        <w:rPr>
          <w:sz w:val="38"/>
          <w:szCs w:val="38"/>
        </w:rPr>
      </w:pPr>
      <w:r w:rsidDel="00000000" w:rsidR="00000000" w:rsidRPr="00000000">
        <w:rPr>
          <w:rtl w:val="0"/>
        </w:rPr>
      </w:r>
    </w:p>
    <w:p w:rsidR="00000000" w:rsidDel="00000000" w:rsidP="00000000" w:rsidRDefault="00000000" w:rsidRPr="00000000" w14:paraId="00000007">
      <w:pPr>
        <w:spacing w:line="276" w:lineRule="auto"/>
        <w:jc w:val="center"/>
        <w:rPr>
          <w:sz w:val="38"/>
          <w:szCs w:val="38"/>
        </w:rPr>
      </w:pPr>
      <w:r w:rsidDel="00000000" w:rsidR="00000000" w:rsidRPr="00000000">
        <w:rPr>
          <w:rtl w:val="0"/>
        </w:rPr>
      </w:r>
    </w:p>
    <w:p w:rsidR="00000000" w:rsidDel="00000000" w:rsidP="00000000" w:rsidRDefault="00000000" w:rsidRPr="00000000" w14:paraId="00000008">
      <w:pPr>
        <w:spacing w:line="276" w:lineRule="auto"/>
        <w:jc w:val="center"/>
        <w:rPr>
          <w:sz w:val="38"/>
          <w:szCs w:val="38"/>
        </w:rPr>
      </w:pPr>
      <w:r w:rsidDel="00000000" w:rsidR="00000000" w:rsidRPr="00000000">
        <w:rPr>
          <w:sz w:val="38"/>
          <w:szCs w:val="38"/>
          <w:rtl w:val="0"/>
        </w:rPr>
        <w:t xml:space="preserve">Jean Carlos González Betin</w:t>
      </w:r>
    </w:p>
    <w:p w:rsidR="00000000" w:rsidDel="00000000" w:rsidP="00000000" w:rsidRDefault="00000000" w:rsidRPr="00000000" w14:paraId="00000009">
      <w:pPr>
        <w:spacing w:line="276" w:lineRule="auto"/>
        <w:rPr>
          <w:sz w:val="38"/>
          <w:szCs w:val="38"/>
        </w:rPr>
      </w:pPr>
      <w:r w:rsidDel="00000000" w:rsidR="00000000" w:rsidRPr="00000000">
        <w:rPr>
          <w:rtl w:val="0"/>
        </w:rPr>
      </w:r>
    </w:p>
    <w:p w:rsidR="00000000" w:rsidDel="00000000" w:rsidP="00000000" w:rsidRDefault="00000000" w:rsidRPr="00000000" w14:paraId="0000000A">
      <w:pPr>
        <w:spacing w:line="276" w:lineRule="auto"/>
        <w:jc w:val="center"/>
        <w:rPr>
          <w:sz w:val="38"/>
          <w:szCs w:val="38"/>
        </w:rPr>
      </w:pPr>
      <w:r w:rsidDel="00000000" w:rsidR="00000000" w:rsidRPr="00000000">
        <w:rPr>
          <w:rtl w:val="0"/>
        </w:rPr>
      </w:r>
    </w:p>
    <w:p w:rsidR="00000000" w:rsidDel="00000000" w:rsidP="00000000" w:rsidRDefault="00000000" w:rsidRPr="00000000" w14:paraId="0000000B">
      <w:pPr>
        <w:spacing w:line="276" w:lineRule="auto"/>
        <w:jc w:val="center"/>
        <w:rPr>
          <w:sz w:val="38"/>
          <w:szCs w:val="38"/>
        </w:rPr>
      </w:pPr>
      <w:r w:rsidDel="00000000" w:rsidR="00000000" w:rsidRPr="00000000">
        <w:rPr>
          <w:rtl w:val="0"/>
        </w:rPr>
      </w:r>
    </w:p>
    <w:p w:rsidR="00000000" w:rsidDel="00000000" w:rsidP="00000000" w:rsidRDefault="00000000" w:rsidRPr="00000000" w14:paraId="0000000C">
      <w:pPr>
        <w:spacing w:line="276" w:lineRule="auto"/>
        <w:jc w:val="center"/>
        <w:rPr>
          <w:sz w:val="38"/>
          <w:szCs w:val="38"/>
        </w:rPr>
      </w:pPr>
      <w:r w:rsidDel="00000000" w:rsidR="00000000" w:rsidRPr="00000000">
        <w:rPr>
          <w:sz w:val="38"/>
          <w:szCs w:val="38"/>
          <w:rtl w:val="0"/>
        </w:rPr>
        <w:t xml:space="preserve">Instructor: Edwin Alexander Durán García</w:t>
      </w:r>
    </w:p>
    <w:p w:rsidR="00000000" w:rsidDel="00000000" w:rsidP="00000000" w:rsidRDefault="00000000" w:rsidRPr="00000000" w14:paraId="0000000D">
      <w:pPr>
        <w:spacing w:line="276" w:lineRule="auto"/>
        <w:jc w:val="center"/>
        <w:rPr>
          <w:sz w:val="38"/>
          <w:szCs w:val="38"/>
        </w:rPr>
      </w:pPr>
      <w:r w:rsidDel="00000000" w:rsidR="00000000" w:rsidRPr="00000000">
        <w:rPr>
          <w:rtl w:val="0"/>
        </w:rPr>
      </w:r>
    </w:p>
    <w:p w:rsidR="00000000" w:rsidDel="00000000" w:rsidP="00000000" w:rsidRDefault="00000000" w:rsidRPr="00000000" w14:paraId="0000000E">
      <w:pPr>
        <w:spacing w:line="276" w:lineRule="auto"/>
        <w:jc w:val="center"/>
        <w:rPr>
          <w:sz w:val="38"/>
          <w:szCs w:val="38"/>
        </w:rPr>
      </w:pPr>
      <w:r w:rsidDel="00000000" w:rsidR="00000000" w:rsidRPr="00000000">
        <w:rPr>
          <w:rtl w:val="0"/>
        </w:rPr>
      </w:r>
    </w:p>
    <w:p w:rsidR="00000000" w:rsidDel="00000000" w:rsidP="00000000" w:rsidRDefault="00000000" w:rsidRPr="00000000" w14:paraId="0000000F">
      <w:pPr>
        <w:spacing w:line="276" w:lineRule="auto"/>
        <w:jc w:val="center"/>
        <w:rPr>
          <w:sz w:val="38"/>
          <w:szCs w:val="38"/>
        </w:rPr>
      </w:pPr>
      <w:r w:rsidDel="00000000" w:rsidR="00000000" w:rsidRPr="00000000">
        <w:rPr>
          <w:rtl w:val="0"/>
        </w:rPr>
      </w:r>
    </w:p>
    <w:p w:rsidR="00000000" w:rsidDel="00000000" w:rsidP="00000000" w:rsidRDefault="00000000" w:rsidRPr="00000000" w14:paraId="00000010">
      <w:pPr>
        <w:spacing w:line="276" w:lineRule="auto"/>
        <w:jc w:val="center"/>
        <w:rPr>
          <w:sz w:val="38"/>
          <w:szCs w:val="38"/>
        </w:rPr>
      </w:pPr>
      <w:r w:rsidDel="00000000" w:rsidR="00000000" w:rsidRPr="00000000">
        <w:rPr>
          <w:sz w:val="38"/>
          <w:szCs w:val="38"/>
          <w:rtl w:val="0"/>
        </w:rPr>
        <w:t xml:space="preserve">CEET</w:t>
      </w:r>
    </w:p>
    <w:p w:rsidR="00000000" w:rsidDel="00000000" w:rsidP="00000000" w:rsidRDefault="00000000" w:rsidRPr="00000000" w14:paraId="00000011">
      <w:pPr>
        <w:spacing w:line="276" w:lineRule="auto"/>
        <w:jc w:val="center"/>
        <w:rPr>
          <w:sz w:val="38"/>
          <w:szCs w:val="38"/>
        </w:rPr>
      </w:pPr>
      <w:r w:rsidDel="00000000" w:rsidR="00000000" w:rsidRPr="00000000">
        <w:rPr>
          <w:rtl w:val="0"/>
        </w:rPr>
      </w:r>
    </w:p>
    <w:p w:rsidR="00000000" w:rsidDel="00000000" w:rsidP="00000000" w:rsidRDefault="00000000" w:rsidRPr="00000000" w14:paraId="00000012">
      <w:pPr>
        <w:spacing w:line="276" w:lineRule="auto"/>
        <w:jc w:val="center"/>
        <w:rPr>
          <w:sz w:val="38"/>
          <w:szCs w:val="38"/>
        </w:rPr>
      </w:pPr>
      <w:r w:rsidDel="00000000" w:rsidR="00000000" w:rsidRPr="00000000">
        <w:rPr>
          <w:rtl w:val="0"/>
        </w:rPr>
      </w:r>
    </w:p>
    <w:p w:rsidR="00000000" w:rsidDel="00000000" w:rsidP="00000000" w:rsidRDefault="00000000" w:rsidRPr="00000000" w14:paraId="00000013">
      <w:pPr>
        <w:spacing w:line="276" w:lineRule="auto"/>
        <w:jc w:val="center"/>
        <w:rPr>
          <w:sz w:val="38"/>
          <w:szCs w:val="38"/>
        </w:rPr>
      </w:pPr>
      <w:r w:rsidDel="00000000" w:rsidR="00000000" w:rsidRPr="00000000">
        <w:rPr>
          <w:rtl w:val="0"/>
        </w:rPr>
      </w:r>
    </w:p>
    <w:p w:rsidR="00000000" w:rsidDel="00000000" w:rsidP="00000000" w:rsidRDefault="00000000" w:rsidRPr="00000000" w14:paraId="00000014">
      <w:pPr>
        <w:spacing w:line="276" w:lineRule="auto"/>
        <w:jc w:val="center"/>
        <w:rPr>
          <w:sz w:val="38"/>
          <w:szCs w:val="38"/>
        </w:rPr>
      </w:pPr>
      <w:r w:rsidDel="00000000" w:rsidR="00000000" w:rsidRPr="00000000">
        <w:rPr>
          <w:sz w:val="38"/>
          <w:szCs w:val="38"/>
          <w:rtl w:val="0"/>
        </w:rPr>
        <w:t xml:space="preserve">ADSO</w:t>
      </w:r>
    </w:p>
    <w:p w:rsidR="00000000" w:rsidDel="00000000" w:rsidP="00000000" w:rsidRDefault="00000000" w:rsidRPr="00000000" w14:paraId="00000015">
      <w:pPr>
        <w:spacing w:line="276" w:lineRule="auto"/>
        <w:jc w:val="center"/>
        <w:rPr>
          <w:sz w:val="38"/>
          <w:szCs w:val="38"/>
        </w:rPr>
      </w:pPr>
      <w:r w:rsidDel="00000000" w:rsidR="00000000" w:rsidRPr="00000000">
        <w:rPr>
          <w:rtl w:val="0"/>
        </w:rPr>
      </w:r>
    </w:p>
    <w:p w:rsidR="00000000" w:rsidDel="00000000" w:rsidP="00000000" w:rsidRDefault="00000000" w:rsidRPr="00000000" w14:paraId="00000016">
      <w:pPr>
        <w:spacing w:line="276" w:lineRule="auto"/>
        <w:jc w:val="center"/>
        <w:rPr>
          <w:sz w:val="38"/>
          <w:szCs w:val="38"/>
        </w:rPr>
      </w:pPr>
      <w:r w:rsidDel="00000000" w:rsidR="00000000" w:rsidRPr="00000000">
        <w:rPr>
          <w:rtl w:val="0"/>
        </w:rPr>
      </w:r>
    </w:p>
    <w:p w:rsidR="00000000" w:rsidDel="00000000" w:rsidP="00000000" w:rsidRDefault="00000000" w:rsidRPr="00000000" w14:paraId="00000017">
      <w:pPr>
        <w:spacing w:line="276" w:lineRule="auto"/>
        <w:jc w:val="center"/>
        <w:rPr>
          <w:sz w:val="38"/>
          <w:szCs w:val="38"/>
        </w:rPr>
      </w:pPr>
      <w:r w:rsidDel="00000000" w:rsidR="00000000" w:rsidRPr="00000000">
        <w:rPr>
          <w:rtl w:val="0"/>
        </w:rPr>
      </w:r>
    </w:p>
    <w:p w:rsidR="00000000" w:rsidDel="00000000" w:rsidP="00000000" w:rsidRDefault="00000000" w:rsidRPr="00000000" w14:paraId="00000018">
      <w:pPr>
        <w:spacing w:line="276" w:lineRule="auto"/>
        <w:jc w:val="center"/>
        <w:rPr>
          <w:sz w:val="38"/>
          <w:szCs w:val="38"/>
        </w:rPr>
      </w:pPr>
      <w:r w:rsidDel="00000000" w:rsidR="00000000" w:rsidRPr="00000000">
        <w:rPr>
          <w:sz w:val="38"/>
          <w:szCs w:val="38"/>
          <w:rtl w:val="0"/>
        </w:rPr>
        <w:t xml:space="preserve">Ficha:3406014</w:t>
      </w:r>
    </w:p>
    <w:p w:rsidR="00000000" w:rsidDel="00000000" w:rsidP="00000000" w:rsidRDefault="00000000" w:rsidRPr="00000000" w14:paraId="00000019">
      <w:pPr>
        <w:spacing w:after="240" w:line="276" w:lineRule="auto"/>
        <w:jc w:val="both"/>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line="360" w:lineRule="auto"/>
        <w:ind w:left="0" w:right="-360" w:firstLine="0"/>
        <w:rPr>
          <w:rFonts w:ascii="Roboto" w:cs="Roboto" w:eastAsia="Roboto" w:hAnsi="Roboto"/>
          <w:color w:val="12263f"/>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El documento presenta las generalidades de una propuesta técnica enfocada en servicios de software. Explica que, para diseñar y presentar una propuesta exitosa, es necesario tener claridad sobre las necesidades del cliente, los costos y presupuestos, la contratación y las características del software que se va a desarrollar. Todo esto permite generar confianza y seguridad tanto para el cliente como para el oferente. Además, resalta que una propuesta técnica debe estar organizada de manera lógica y profesional.</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En la primera parte se presentan conceptos importantes relacionados con el ámbito empresarial y contractual. Se define el contrato como un acuerdo legal entre dos o más partes con fines económicos. También se explica la adición de contrato, que permite aumentar tiempo o valor del contrato hasta un máximo del 50 % del valor inicial. Otros conceptos importantes son los activos, entendidos como bienes y derechos con valor económico; los pasivos, que corresponden a obligaciones o deudas; y el Certificado de Disponibilidad Presupuestal (CDP), documento que garantiza que existen recursos para cubrir un gasto determinado. Además, se mencionan términos actuales como monetización, gasto, licitación y freelance.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El texto define la propuesta técnica como el documento que se entrega a un posible cliente para ofrecer una solución a un problema existente. Esta propuesta debe ser clara, concreta y fácil de comprender. Dependiendo del tipo de empresa o entidad que la solicite —privada, gubernamental, fundación u ONG— el formato puede variar. La propuesta debe adaptarse a los requisitos establecidos por cada organización.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En cuanto a la estructura de la propuesta técnica, el documento explica que esta debe incluir: saludos y presentación, alcance de la propuesta, diferentes opciones de trabajo, cotización de cada propuesta, condiciones de pago y una conclusión o despedida. La correcta organización de estos elementos permite que la información sea más comprensible y profesional para el cliente.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Posteriormente, el texto aborda los Términos de Referencia (TdR), que son documentos elaborados por una empresa para expresar sus necesidades, problemas u oportunidades de mejora. Los TdR ayudan a que la empresa contratante tenga claridad sobre los servicios que requiere y permiten al experto en software preparar una propuesta adecuada. Dentro de estos términos se incluyen aspectos como los objetivos del servicio, las especificaciones técnicas, el perfil del contratista, el tiempo de ejecución y las condiciones de pago.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El documento también explica que, cuando una empresa no maneja TdR, el profesional de software debe reunirse con las partes interesadas o stakeholders para conocer cómo funciona la empresa, cuáles son sus procesos y necesidades, y así poder identificar soluciones adecuadas. Asimismo, se recomienda dialogar sobre el presupuesto y analizar la matriz DOFA de la organización para comprender sus fortalezas, oportunidades, debilidades y amenazas.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En la elaboración de la propuesta técnica se destaca la importancia de mantener una imagen profesional. El documento debe incluir el nombre de la empresa o del trabajador freelance, el NIT, el logo y los datos de contacto como dirección, teléfonos, correo electrónico y redes sociales. También se recomienda usar un diseño sobrio y atractivo que represente adecuadamente al negocio.</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Respecto a la validación de la propuesta técnica, el texto señala que esta depende de aspectos relacionados con la normatividad, la contratación y las garantías ofrecidas. Una vez el cliente acepta la propuesta o se adjudica una licitación, se debe formalizar el acuerdo mediante un contrato escrito en el que se establezcan todas las condiciones pactadas.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El documento diferencia entre contratación privada y contratación pública o estatal. La contratación privada corresponde a acuerdos entre personas o empresas para realizar un trabajo o prestar un servicio. Por otro lado, la contratación pública tiene como finalidad garantizar la prestación eficiente de los servicios públicos y se encuentra regulada por leyes del Estado colombiano.</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También se explica el concepto de licitación, que es el proceso mediante el cual una entidad pública selecciona la mejor propuesta para ejecutar una obra, prestar un servicio o suministrar bienes. La licitación puede ser privada, cuando solo participan empresas invitadas, o pública, cuando cualquier persona o empresa puede participar. Para presentarse a una licitación estatal es necesario cumplir requisitos legales como tener RUT, registro mercantil, afiliación a ARL y llevar contabilidad formal.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El texto describe las etapas de una licitación pública en Colombia. Primero, la entidad estatal publica el pliego de condiciones en SECOP. Luego, los proponentes pueden realizar observaciones y aclaraciones. Después se entregan las propuestas y se inicia la etapa de evaluación, donde se revisan requisitos y se asignan puntajes. Finalmente, la entidad realiza la audiencia de adjudicación y selecciona al oferente que cumpla con las mejores condiciones de calidad y costo.</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color w:val="12263f"/>
        </w:rPr>
      </w:pPr>
      <w:r w:rsidDel="00000000" w:rsidR="00000000" w:rsidRPr="00000000">
        <w:rPr>
          <w:color w:val="12263f"/>
          <w:rtl w:val="0"/>
        </w:rPr>
        <w:t xml:space="preserve">Por último, el documento menciona algunas leyes importantes que regulan la contratación en Colombia, como la Ley 80 de 1993, la Ley 1150 de 2007, la Ley de Transparencia y la Ley Anticorrupción. También explica el “Acuerdo Marco”, un instrumento administrado por Colombia Compra Eficiente que permite adquirir bienes y servicios de manera más organizada y transparente para las entidades públicas.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720" w:line="360" w:lineRule="auto"/>
        <w:jc w:val="both"/>
        <w:rPr>
          <w:color w:val="12263f"/>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