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23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>
        <w:rPr>
          <w:rFonts w:eastAsia="Arial" w:cs="Arial"/>
          <w:color w:val="auto"/>
          <w:kern w:val="0"/>
          <w:sz w:val="36"/>
          <w:szCs w:val="36"/>
          <w:lang w:val="es-CO" w:eastAsia="es-CO" w:bidi="ar-SA"/>
        </w:rPr>
        <w:t>zonafit</w:t>
      </w:r>
      <w:r>
        <w:rPr>
          <w:sz w:val="36"/>
          <w:szCs w:val="36"/>
        </w:rPr>
        <w:t>.co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/>
        <w:t>.co.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>
          <w:lang w:val="es-CO"/>
        </w:rPr>
        <w:t xml:space="preserve">.co por medio de POM Factory.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zonafit.co</w:t>
      </w:r>
      <w:r>
        <w:rPr/>
        <w:t xml:space="preserve"> y no solo a las personas que hagan un registro o login.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Ya que no se tiene acceso a la BD no se puede verificar las cantidades existentes de cada producto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>Se realizarán pruebas automatizadas a las funcionalidades seleccionadas durante la planificación de cada sprint usando POM Factory.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>Las pruebas del primer Sprint incluyen la verificación de la siguiente historia de usuario HU001 – Se compran 2 productos por medio de la opción de ofertas.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ofertas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Escoger megaplex de la opción de filtro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</w:t>
      </w:r>
      <w:r>
        <w:rPr/>
        <w:t>gregar un producto mas en la opción de cantidades del carro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 de usuario HU002 –  Se compran 2 productos por medio de la opción de Outlet.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utlet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Pagar los productos por medio de pasarelas de pago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Comprobación de tarifas.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6"/>
        <w:gridCol w:w="3157"/>
        <w:gridCol w:w="2037"/>
        <w:gridCol w:w="1384"/>
        <w:gridCol w:w="1816"/>
      </w:tblGrid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 la pagina principal p</w:t>
            </w:r>
            <w:r>
              <w:rPr/>
              <w:t>resionar el botón de oferta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el Filtro Megaplex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Selección</w:t>
            </w:r>
            <w:r>
              <w:rPr/>
              <w:t xml:space="preserve">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/>
              <w:t>r al carrito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a</w:t>
            </w:r>
            <w:r>
              <w:rPr/>
              <w:t>gregar un producto mas en la opción de cantidades del carro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p</w:t>
            </w:r>
            <w:r>
              <w:rPr/>
              <w:t>resionar el botón de finalizar compra.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Validar i</w:t>
            </w:r>
            <w:r>
              <w:rPr/>
              <w:t>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</w:t>
            </w:r>
            <w:r>
              <w:rPr/>
              <w:t>scoge el medio de pago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Validar presionar</w:t>
            </w:r>
            <w:r>
              <w:rPr/>
              <w:t xml:space="preserve">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9"/>
        <w:gridCol w:w="3214"/>
        <w:gridCol w:w="2037"/>
        <w:gridCol w:w="1384"/>
        <w:gridCol w:w="1816"/>
      </w:tblGrid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 la pagina principal p</w:t>
            </w:r>
            <w:r>
              <w:rPr/>
              <w:t>resionar el botón de o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utlet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la selección</w:t>
            </w:r>
            <w:r>
              <w:rPr/>
              <w:t xml:space="preserve">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/>
              <w:t>r al carrito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Validar p</w:t>
            </w:r>
            <w:r>
              <w:rPr/>
              <w:t>resionar el botón de finalizar compra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Validar i</w:t>
            </w:r>
            <w:r>
              <w:rPr/>
              <w:t>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</w:t>
            </w:r>
            <w:r>
              <w:rPr/>
              <w:t>scoge</w:t>
            </w:r>
            <w:r>
              <w:rPr/>
              <w:t>r</w:t>
            </w:r>
            <w:r>
              <w:rPr/>
              <w:t xml:space="preserve"> el medio de pago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Validar p</w:t>
            </w:r>
            <w:r>
              <w:rPr/>
              <w:t>resiona</w:t>
            </w:r>
            <w:r>
              <w:rPr/>
              <w:t>r</w:t>
            </w:r>
            <w:r>
              <w:rPr/>
              <w:t xml:space="preserve">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Compra de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cliente quiero ingresar a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y comprar productos segun las ofertas y/o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con el fin de comprar dos productos en cada categoria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@buy1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Oferta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Oferta donde filtra y escoge dos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agrega otro pruducto y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 pedido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ver un mensaje de confirmacion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@buy2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Outlet donde filtra y escoge 2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sus pedidos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 un mensaje de confirmacion</w:t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WebDriver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sistemas Web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SIkulix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por medio de imagenes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1"/>
        <w:gridCol w:w="4249"/>
        <w:gridCol w:w="3120"/>
      </w:tblGrid>
      <w:tr>
        <w:trPr/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las ofertas,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  <w:tr>
        <w:trPr/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el outlet,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34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LibreOffice/7.2.2.2$Windows_X86_64 LibreOffice_project/02b2acce88a210515b4a5bb2e46cbfb63fe97d56</Application>
  <AppVersion>15.0000</AppVersion>
  <Pages>11</Pages>
  <Words>1271</Words>
  <Characters>6304</Characters>
  <CharactersWithSpaces>7401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2021-12-30T21:43:24Z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