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 xml:space="preserve">Erwin </w:t>
            </w:r>
            <w:proofErr w:type="spellStart"/>
            <w:r w:rsidRPr="00EE54CC">
              <w:rPr>
                <w:rFonts w:ascii="Century Gothic" w:hAnsi="Century Gothic" w:cs="Arial"/>
                <w:bCs/>
                <w:color w:val="000000"/>
              </w:rPr>
              <w:t>Alexánder</w:t>
            </w:r>
            <w:proofErr w:type="spellEnd"/>
            <w:r w:rsidRPr="00EE54CC">
              <w:rPr>
                <w:rFonts w:ascii="Century Gothic" w:hAnsi="Century Gothic" w:cs="Arial"/>
                <w:bCs/>
                <w:color w:val="000000"/>
              </w:rPr>
              <w:t xml:space="preserve">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proofErr w:type="spellStart"/>
            <w:r>
              <w:rPr>
                <w:rFonts w:ascii="Century Gothic" w:hAnsi="Century Gothic" w:cs="Arial"/>
                <w:color w:val="000000"/>
              </w:rPr>
              <w:t>Internexa</w:t>
            </w:r>
            <w:proofErr w:type="spellEnd"/>
            <w:r>
              <w:rPr>
                <w:rFonts w:ascii="Century Gothic" w:hAnsi="Century Gothic" w:cs="Arial"/>
                <w:color w:val="000000"/>
              </w:rPr>
              <w:t xml:space="preserve">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5F2023"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7"/>
        <w:gridCol w:w="5473"/>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94455C" w:rsidRDefault="00EE54CC" w:rsidP="00F90EB4">
            <w:pPr>
              <w:rPr>
                <w:rFonts w:ascii="Arial" w:hAnsi="Arial" w:cs="Arial"/>
                <w:color w:val="000000"/>
              </w:rPr>
            </w:pPr>
            <w:proofErr w:type="spellStart"/>
            <w:r>
              <w:rPr>
                <w:rFonts w:ascii="Arial" w:hAnsi="Arial" w:cs="Arial"/>
                <w:color w:val="000000"/>
              </w:rPr>
              <w:t>Internexa</w:t>
            </w:r>
            <w:proofErr w:type="spellEnd"/>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EE54CC" w:rsidRDefault="005F2023" w:rsidP="00F90EB4">
            <w:pPr>
              <w:rPr>
                <w:rFonts w:ascii="Arial" w:hAnsi="Arial" w:cs="Arial"/>
                <w:color w:val="000000"/>
              </w:rPr>
            </w:pPr>
            <w:hyperlink r:id="rId10" w:history="1">
              <w:r w:rsidR="00EE54CC" w:rsidRPr="00EE54CC">
                <w:rPr>
                  <w:rStyle w:val="Hipervnculo"/>
                  <w:rFonts w:ascii="Arial" w:hAnsi="Arial" w:cs="Arial"/>
                  <w:color w:val="auto"/>
                  <w:u w:val="none"/>
                  <w:shd w:val="clear" w:color="auto" w:fill="FFFFFF"/>
                </w:rPr>
                <w:t>CALLE 12 SUR</w:t>
              </w:r>
            </w:hyperlink>
            <w:r w:rsidR="00EE54CC" w:rsidRPr="00EE54CC">
              <w:rPr>
                <w:rFonts w:ascii="Arial" w:hAnsi="Arial" w:cs="Arial"/>
                <w:shd w:val="clear" w:color="auto" w:fill="FFFFFF"/>
              </w:rPr>
              <w:t> </w:t>
            </w:r>
            <w:hyperlink r:id="rId11" w:history="1">
              <w:r w:rsidR="00EE54CC" w:rsidRPr="00EE54CC">
                <w:rPr>
                  <w:rStyle w:val="Hipervnculo"/>
                  <w:rFonts w:ascii="Arial" w:hAnsi="Arial" w:cs="Arial"/>
                  <w:color w:val="auto"/>
                  <w:u w:val="none"/>
                  <w:shd w:val="clear" w:color="auto" w:fill="FFFFFF"/>
                </w:rPr>
                <w:t>18 168</w:t>
              </w:r>
            </w:hyperlink>
            <w:r w:rsidR="00EE54CC" w:rsidRPr="00EE54CC">
              <w:rPr>
                <w:rFonts w:ascii="Arial" w:hAnsi="Arial" w:cs="Arial"/>
                <w:shd w:val="clear" w:color="auto" w:fill="FFFFFF"/>
              </w:rPr>
              <w:t> </w:t>
            </w:r>
            <w:hyperlink r:id="rId12" w:history="1">
              <w:r w:rsidR="00EE54CC" w:rsidRPr="00EE54CC">
                <w:rPr>
                  <w:rStyle w:val="Hipervnculo"/>
                  <w:rFonts w:ascii="Arial" w:hAnsi="Arial"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94455C" w:rsidRDefault="00EE54CC" w:rsidP="00F90EB4">
            <w:pPr>
              <w:rPr>
                <w:rFonts w:ascii="Arial" w:hAnsi="Arial" w:cs="Arial"/>
                <w:color w:val="000000"/>
              </w:rPr>
            </w:pPr>
            <w:r>
              <w:rPr>
                <w:rFonts w:ascii="Arial" w:hAnsi="Arial"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94455C" w:rsidRDefault="00FC1EB3" w:rsidP="00F90EB4">
            <w:pPr>
              <w:rPr>
                <w:rFonts w:ascii="Arial" w:hAnsi="Arial"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94455C" w:rsidRDefault="00EE54CC" w:rsidP="00F90EB4">
            <w:pPr>
              <w:rPr>
                <w:rFonts w:ascii="Arial" w:hAnsi="Arial" w:cs="Arial"/>
                <w:color w:val="000000"/>
              </w:rPr>
            </w:pPr>
            <w:r>
              <w:rPr>
                <w:rFonts w:ascii="Arial" w:hAnsi="Arial"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5E9D6D75" w14:textId="4092CC10" w:rsidR="00E2135B" w:rsidRPr="009B582F" w:rsidRDefault="00F13DB7" w:rsidP="00033459">
      <w:pPr>
        <w:spacing w:line="320" w:lineRule="exact"/>
        <w:jc w:val="both"/>
        <w:rPr>
          <w:rFonts w:ascii="Century Gothic" w:hAnsi="Century Gothic" w:cs="Arial"/>
          <w:b/>
        </w:rPr>
      </w:pPr>
      <w:r w:rsidRPr="009B582F">
        <w:rPr>
          <w:rFonts w:ascii="Century Gothic" w:hAnsi="Century Gothic" w:cs="Arial"/>
          <w:b/>
          <w:noProof/>
          <w:lang w:val="en-US" w:eastAsia="en-US"/>
        </w:rPr>
        <w:lastRenderedPageBreak/>
        <mc:AlternateContent>
          <mc:Choice Requires="wps">
            <w:drawing>
              <wp:anchor distT="0" distB="0" distL="114300" distR="114300" simplePos="0" relativeHeight="251652608" behindDoc="0" locked="0" layoutInCell="1" allowOverlap="1" wp14:anchorId="724EC809" wp14:editId="535CEA18">
                <wp:simplePos x="0" y="0"/>
                <wp:positionH relativeFrom="column">
                  <wp:posOffset>23495</wp:posOffset>
                </wp:positionH>
                <wp:positionV relativeFrom="paragraph">
                  <wp:posOffset>205105</wp:posOffset>
                </wp:positionV>
                <wp:extent cx="2158365" cy="0"/>
                <wp:effectExtent l="9525" t="9525" r="13335" b="952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836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320F4" id="_x0000_t32" coordsize="21600,21600" o:spt="32" o:oned="t" path="m,l21600,21600e" filled="f">
                <v:path arrowok="t" fillok="f" o:connecttype="none"/>
                <o:lock v:ext="edit" shapetype="t"/>
              </v:shapetype>
              <v:shape id="AutoShape 39" o:spid="_x0000_s1026" type="#_x0000_t32" style="position:absolute;margin-left:1.85pt;margin-top:16.15pt;width:169.9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" strokecolor="#c2d69b"/>
            </w:pict>
          </mc:Fallback>
        </mc:AlternateContent>
      </w:r>
      <w:r w:rsidR="00EE54CC">
        <w:rPr>
          <w:rFonts w:ascii="Century Gothic" w:hAnsi="Century Gothic"/>
          <w:b/>
        </w:rPr>
        <w:t>MEJORAMIENTO DEL DESEMPEÑO DE LA RED MPLS HUAWEI COLOMBIA PARA ENTREGAR SERVICIOS CARRIER ETHERNET Y I</w:t>
      </w:r>
      <w:r w:rsidR="00B3471D">
        <w:rPr>
          <w:rFonts w:ascii="Century Gothic" w:hAnsi="Century Gothic"/>
          <w:b/>
        </w:rPr>
        <w:t>P NEXT GENERATION</w:t>
      </w:r>
    </w:p>
    <w:p w14:paraId="587CFCD7" w14:textId="77777777" w:rsidR="00CA14B1" w:rsidRPr="00733773" w:rsidRDefault="00CA14B1" w:rsidP="00033459">
      <w:pPr>
        <w:spacing w:line="320" w:lineRule="exact"/>
        <w:jc w:val="both"/>
        <w:rPr>
          <w:rFonts w:ascii="Century Gothic" w:hAnsi="Century Gothic" w:cs="Arial"/>
          <w:b/>
          <w:sz w:val="22"/>
          <w:szCs w:val="22"/>
        </w:rPr>
      </w:pPr>
    </w:p>
    <w:p w14:paraId="4DFCAE0E" w14:textId="77777777" w:rsidR="00E2135B" w:rsidRPr="00733773" w:rsidRDefault="00E2135B" w:rsidP="00033459">
      <w:pPr>
        <w:spacing w:line="320" w:lineRule="exact"/>
        <w:jc w:val="both"/>
        <w:rPr>
          <w:rFonts w:ascii="Century Gothic" w:hAnsi="Century Gothic" w:cs="Arial"/>
          <w:b/>
          <w:sz w:val="22"/>
          <w:szCs w:val="22"/>
        </w:rPr>
      </w:pPr>
    </w:p>
    <w:p w14:paraId="71AE22C7" w14:textId="77777777" w:rsidR="00E2135B" w:rsidRPr="00733773" w:rsidRDefault="005060C5"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030EBCED" w14:textId="030E0CD2" w:rsidR="0045670D" w:rsidRDefault="00B3471D" w:rsidP="00033459">
      <w:pPr>
        <w:spacing w:line="320" w:lineRule="exact"/>
        <w:jc w:val="both"/>
        <w:rPr>
          <w:rFonts w:ascii="Century Gothic" w:hAnsi="Century Gothic" w:cs="Arial"/>
          <w:sz w:val="22"/>
          <w:szCs w:val="22"/>
        </w:rPr>
      </w:pP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w:t>
      </w:r>
      <w:r w:rsidR="00274944">
        <w:rPr>
          <w:rFonts w:ascii="Century Gothic" w:hAnsi="Century Gothic" w:cs="Arial"/>
          <w:sz w:val="22"/>
          <w:szCs w:val="22"/>
        </w:rPr>
        <w:t xml:space="preserve">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 </w:t>
      </w:r>
    </w:p>
    <w:p w14:paraId="4D0E84FE" w14:textId="5AFDEF9B" w:rsidR="00274944" w:rsidRDefault="00274944" w:rsidP="00033459">
      <w:pPr>
        <w:spacing w:line="320" w:lineRule="exact"/>
        <w:jc w:val="both"/>
        <w:rPr>
          <w:rFonts w:ascii="Century Gothic" w:hAnsi="Century Gothic" w:cs="Arial"/>
          <w:sz w:val="22"/>
          <w:szCs w:val="22"/>
        </w:rPr>
      </w:pPr>
      <w:r>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que cuenta metropolitanas, nacionales e internacionales. </w:t>
      </w:r>
    </w:p>
    <w:p w14:paraId="1B24EDDA" w14:textId="1DAC463A" w:rsidR="003400CF" w:rsidRDefault="000F74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Esta de red cuenta con tecnología de punta y posee 50.000 kilómetros de fibra óptica que permiten conectar a más de 868 clientes a través de 257 puntos de conexión. </w:t>
      </w:r>
    </w:p>
    <w:p w14:paraId="750EDC22" w14:textId="57A6C283" w:rsidR="003400CF" w:rsidRDefault="003400CF" w:rsidP="00033459">
      <w:pPr>
        <w:spacing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w:t>
      </w:r>
      <w:proofErr w:type="spellStart"/>
      <w:r>
        <w:rPr>
          <w:rFonts w:ascii="Century Gothic" w:hAnsi="Century Gothic" w:cs="Arial"/>
          <w:sz w:val="22"/>
          <w:szCs w:val="22"/>
        </w:rPr>
        <w:t>MultiLabel</w:t>
      </w:r>
      <w:proofErr w:type="spellEnd"/>
      <w:r>
        <w:rPr>
          <w:rFonts w:ascii="Century Gothic" w:hAnsi="Century Gothic" w:cs="Arial"/>
          <w:sz w:val="22"/>
          <w:szCs w:val="22"/>
        </w:rPr>
        <w:t xml:space="preserve"> </w:t>
      </w:r>
      <w:proofErr w:type="spellStart"/>
      <w:r>
        <w:rPr>
          <w:rFonts w:ascii="Century Gothic" w:hAnsi="Century Gothic" w:cs="Arial"/>
          <w:sz w:val="22"/>
          <w:szCs w:val="22"/>
        </w:rPr>
        <w:t>Switching</w:t>
      </w:r>
      <w:proofErr w:type="spellEnd"/>
      <w:r>
        <w:rPr>
          <w:rFonts w:ascii="Century Gothic" w:hAnsi="Century Gothic" w:cs="Arial"/>
          <w:sz w:val="22"/>
          <w:szCs w:val="22"/>
        </w:rPr>
        <w:t xml:space="preserve"> </w:t>
      </w:r>
      <w:proofErr w:type="spellStart"/>
      <w:r>
        <w:rPr>
          <w:rFonts w:ascii="Century Gothic" w:hAnsi="Century Gothic" w:cs="Arial"/>
          <w:sz w:val="22"/>
          <w:szCs w:val="22"/>
        </w:rPr>
        <w:t>Protocol</w:t>
      </w:r>
      <w:proofErr w:type="spellEnd"/>
      <w:r>
        <w:rPr>
          <w:rFonts w:ascii="Century Gothic" w:hAnsi="Century Gothic" w:cs="Arial"/>
          <w:sz w:val="22"/>
          <w:szCs w:val="22"/>
        </w:rPr>
        <w:t>)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2325B3">
        <w:rPr>
          <w:rFonts w:ascii="Century Gothic" w:hAnsi="Century Gothic" w:cs="Arial"/>
          <w:sz w:val="22"/>
          <w:szCs w:val="22"/>
        </w:rPr>
        <w:t>; que es un servicio de capa 2 prestado a las empresas para interconectar sus sedes de manera local;</w:t>
      </w:r>
      <w:r>
        <w:rPr>
          <w:rFonts w:ascii="Century Gothic" w:hAnsi="Century Gothic" w:cs="Arial"/>
          <w:sz w:val="22"/>
          <w:szCs w:val="22"/>
        </w:rPr>
        <w:t xml:space="preserve"> y IP Next </w:t>
      </w:r>
      <w:proofErr w:type="spellStart"/>
      <w:r>
        <w:rPr>
          <w:rFonts w:ascii="Century Gothic" w:hAnsi="Century Gothic" w:cs="Arial"/>
          <w:sz w:val="22"/>
          <w:szCs w:val="22"/>
        </w:rPr>
        <w:t>Generation</w:t>
      </w:r>
      <w:proofErr w:type="spellEnd"/>
      <w:r>
        <w:rPr>
          <w:rFonts w:ascii="Century Gothic" w:hAnsi="Century Gothic" w:cs="Arial"/>
          <w:sz w:val="22"/>
          <w:szCs w:val="22"/>
        </w:rPr>
        <w:t xml:space="preserve"> (INTE)</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w:t>
      </w:r>
      <w:proofErr w:type="spellStart"/>
      <w:r w:rsidR="002325B3">
        <w:rPr>
          <w:rFonts w:ascii="Century Gothic" w:hAnsi="Century Gothic" w:cs="Arial"/>
          <w:sz w:val="22"/>
          <w:szCs w:val="22"/>
        </w:rPr>
        <w:t>Distribution</w:t>
      </w:r>
      <w:proofErr w:type="spellEnd"/>
      <w:r w:rsidR="002325B3">
        <w:rPr>
          <w:rFonts w:ascii="Century Gothic" w:hAnsi="Century Gothic" w:cs="Arial"/>
          <w:sz w:val="22"/>
          <w:szCs w:val="22"/>
        </w:rPr>
        <w:t xml:space="preserve"> Network). </w:t>
      </w:r>
    </w:p>
    <w:p w14:paraId="7A79E5D2" w14:textId="44C7C76F" w:rsidR="002325B3" w:rsidRDefault="002325B3" w:rsidP="00033459">
      <w:pPr>
        <w:spacing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w:t>
      </w:r>
      <w:proofErr w:type="spellStart"/>
      <w:r w:rsidR="00F011F3">
        <w:rPr>
          <w:rFonts w:ascii="Century Gothic" w:hAnsi="Century Gothic" w:cs="Arial"/>
          <w:sz w:val="22"/>
          <w:szCs w:val="22"/>
        </w:rPr>
        <w:t>Operation</w:t>
      </w:r>
      <w:proofErr w:type="spellEnd"/>
      <w:r w:rsidR="00F011F3">
        <w:rPr>
          <w:rFonts w:ascii="Century Gothic" w:hAnsi="Century Gothic" w:cs="Arial"/>
          <w:sz w:val="22"/>
          <w:szCs w:val="22"/>
        </w:rPr>
        <w:t xml:space="preserve"> Center) </w:t>
      </w:r>
      <w:proofErr w:type="spellStart"/>
      <w:r w:rsidR="00F011F3">
        <w:rPr>
          <w:rFonts w:ascii="Century Gothic" w:hAnsi="Century Gothic" w:cs="Arial"/>
          <w:sz w:val="22"/>
          <w:szCs w:val="22"/>
        </w:rPr>
        <w:t>Latam</w:t>
      </w:r>
      <w:proofErr w:type="spellEnd"/>
      <w:r w:rsidR="00F011F3">
        <w:rPr>
          <w:rFonts w:ascii="Century Gothic" w:hAnsi="Century Gothic" w:cs="Arial"/>
          <w:sz w:val="22"/>
          <w:szCs w:val="22"/>
        </w:rPr>
        <w:t xml:space="preserve">, que cuenta con profesionales con énfasis en Ingeniería de Red,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w:t>
      </w:r>
      <w:proofErr w:type="spellStart"/>
      <w:r w:rsidR="00F011F3">
        <w:rPr>
          <w:rFonts w:ascii="Century Gothic" w:hAnsi="Century Gothic" w:cs="Arial"/>
          <w:sz w:val="22"/>
          <w:szCs w:val="22"/>
        </w:rPr>
        <w:t>System</w:t>
      </w:r>
      <w:proofErr w:type="spellEnd"/>
      <w:r w:rsidR="00F011F3">
        <w:rPr>
          <w:rFonts w:ascii="Century Gothic" w:hAnsi="Century Gothic" w:cs="Arial"/>
          <w:sz w:val="22"/>
          <w:szCs w:val="22"/>
        </w:rPr>
        <w:t xml:space="preserve"> </w:t>
      </w:r>
      <w:proofErr w:type="spellStart"/>
      <w:r w:rsidR="00F011F3">
        <w:rPr>
          <w:rFonts w:ascii="Century Gothic" w:hAnsi="Century Gothic" w:cs="Arial"/>
          <w:sz w:val="22"/>
          <w:szCs w:val="22"/>
        </w:rPr>
        <w:t>Interconection</w:t>
      </w:r>
      <w:proofErr w:type="spellEnd"/>
      <w:r w:rsidR="00F011F3">
        <w:rPr>
          <w:rFonts w:ascii="Century Gothic" w:hAnsi="Century Gothic" w:cs="Arial"/>
          <w:sz w:val="22"/>
          <w:szCs w:val="22"/>
        </w:rPr>
        <w:t>), para programar y configurar los servicios de ETHE Y INTE</w:t>
      </w:r>
      <w:r w:rsidR="001E79B5">
        <w:rPr>
          <w:rFonts w:ascii="Century Gothic" w:hAnsi="Century Gothic" w:cs="Arial"/>
          <w:sz w:val="22"/>
          <w:szCs w:val="22"/>
        </w:rPr>
        <w:t xml:space="preserve"> punto a punto y multipunto</w:t>
      </w:r>
      <w:r w:rsidR="00F011F3">
        <w:rPr>
          <w:rFonts w:ascii="Century Gothic" w:hAnsi="Century Gothic" w:cs="Arial"/>
          <w:sz w:val="22"/>
          <w:szCs w:val="22"/>
        </w:rPr>
        <w:t xml:space="preserve">. </w:t>
      </w:r>
    </w:p>
    <w:p w14:paraId="49058184" w14:textId="3FD854D9" w:rsidR="00F011F3" w:rsidRDefault="00F011F3" w:rsidP="00033459">
      <w:pPr>
        <w:spacing w:line="320" w:lineRule="exact"/>
        <w:jc w:val="both"/>
        <w:rPr>
          <w:rFonts w:ascii="Century Gothic" w:hAnsi="Century Gothic" w:cs="Arial"/>
          <w:sz w:val="22"/>
          <w:szCs w:val="22"/>
        </w:rPr>
      </w:pPr>
      <w:r>
        <w:rPr>
          <w:rFonts w:ascii="Century Gothic" w:hAnsi="Century Gothic" w:cs="Arial"/>
          <w:sz w:val="22"/>
          <w:szCs w:val="22"/>
        </w:rPr>
        <w:t>Hasta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w:t>
      </w:r>
      <w:proofErr w:type="spellStart"/>
      <w:r w:rsidR="00CD6E0E">
        <w:rPr>
          <w:rFonts w:ascii="Century Gothic" w:hAnsi="Century Gothic" w:cs="Arial"/>
          <w:sz w:val="22"/>
          <w:szCs w:val="22"/>
        </w:rPr>
        <w:t>Command</w:t>
      </w:r>
      <w:proofErr w:type="spellEnd"/>
      <w:r w:rsidR="00CD6E0E">
        <w:rPr>
          <w:rFonts w:ascii="Century Gothic" w:hAnsi="Century Gothic" w:cs="Arial"/>
          <w:sz w:val="22"/>
          <w:szCs w:val="22"/>
        </w:rPr>
        <w:t xml:space="preserve"> Line Interface</w:t>
      </w:r>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Esto es algo dispendioso porque toma 45 minutos la configuración de cada servicio</w:t>
      </w:r>
      <w:r w:rsidR="00BC6FB3">
        <w:rPr>
          <w:rFonts w:ascii="Century Gothic" w:hAnsi="Century Gothic" w:cs="Arial"/>
          <w:sz w:val="22"/>
          <w:szCs w:val="22"/>
        </w:rPr>
        <w:t xml:space="preserve">, sin contar los posibles errores al ingresar mal un comando, y además son varios los servicios que entrega la empresa. </w:t>
      </w:r>
    </w:p>
    <w:p w14:paraId="693BE3DE" w14:textId="5F32F05F" w:rsidR="00BC6FB3"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t>La primera versión de este software representaba una gran solución en cuanto a optimización, pero a mediados del año pasado pasó a ser obsoleto debido a que dentro de la empresa se establecieron unas políticas en las que establecieron que entregar los servicios mediante una nueva metodología que mejora el desempeño de los equipos Huawei.</w:t>
      </w:r>
      <w:r w:rsidR="004E320F">
        <w:rPr>
          <w:rFonts w:ascii="Century Gothic" w:hAnsi="Century Gothic" w:cs="Arial"/>
          <w:sz w:val="22"/>
          <w:szCs w:val="22"/>
        </w:rPr>
        <w:t xml:space="preserve"> Por eso</w:t>
      </w:r>
      <w:r>
        <w:rPr>
          <w:rFonts w:ascii="Century Gothic" w:hAnsi="Century Gothic" w:cs="Arial"/>
          <w:sz w:val="22"/>
          <w:szCs w:val="22"/>
        </w:rPr>
        <w:t xml:space="preserve"> </w:t>
      </w:r>
      <w:r w:rsidR="004E320F">
        <w:rPr>
          <w:rFonts w:ascii="Century Gothic" w:hAnsi="Century Gothic" w:cs="Arial"/>
          <w:sz w:val="22"/>
          <w:szCs w:val="22"/>
        </w:rPr>
        <w:t>los ingenieros de configuración tienen que volver a configurar los nuevos servicios contratados manualmente.</w:t>
      </w:r>
    </w:p>
    <w:p w14:paraId="58ACB598" w14:textId="28AC9926" w:rsidR="00BC6FB3" w:rsidRPr="003400CF"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lastRenderedPageBreak/>
        <w:t xml:space="preserve">La segunda versión del software que se </w:t>
      </w:r>
      <w:r w:rsidR="004E320F">
        <w:rPr>
          <w:rFonts w:ascii="Century Gothic" w:hAnsi="Century Gothic" w:cs="Arial"/>
          <w:sz w:val="22"/>
          <w:szCs w:val="22"/>
        </w:rPr>
        <w:t xml:space="preserve">va a realizar durante este semestre de </w:t>
      </w:r>
      <w:r w:rsidR="002A0D8A">
        <w:rPr>
          <w:rFonts w:ascii="Century Gothic" w:hAnsi="Century Gothic" w:cs="Arial"/>
          <w:sz w:val="22"/>
          <w:szCs w:val="22"/>
        </w:rPr>
        <w:t>industria</w:t>
      </w:r>
      <w:r w:rsidR="004E320F">
        <w:rPr>
          <w:rFonts w:ascii="Century Gothic" w:hAnsi="Century Gothic" w:cs="Arial"/>
          <w:sz w:val="22"/>
          <w:szCs w:val="22"/>
        </w:rPr>
        <w:t xml:space="preserve"> se adaptará a las políticas establecidas por la empresa para hacer la configuración automática de los nuevos servicios contratados y realizar una posible migración de servicios ya configurados por la metodología vieja. </w:t>
      </w:r>
    </w:p>
    <w:p w14:paraId="67727F9A" w14:textId="77777777" w:rsidR="0045670D" w:rsidRPr="00733773" w:rsidRDefault="00B707C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02179562" w:rsidR="00ED2E62" w:rsidRDefault="00ED2E62"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Mejorar una plataforma de gestión ya existente, que configure los servicios de ETHE y INTE de manera automática adaptándose a las nuevas políticas establecidas en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y</w:t>
      </w:r>
      <w:r>
        <w:rPr>
          <w:rFonts w:ascii="Century Gothic" w:hAnsi="Century Gothic" w:cs="Arial"/>
          <w:sz w:val="22"/>
          <w:szCs w:val="22"/>
        </w:rPr>
        <w:t xml:space="preserve"> aplicando buenas prácticas de seguridad.</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527CD750" w:rsidR="00ED2E62"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Reconocer la estructura y el funcionamiento de la red MPLS Huawei Colombia para el proceso y configuración de los servicios ETHE y INTE. </w:t>
      </w:r>
    </w:p>
    <w:p w14:paraId="1A5CEDA2" w14:textId="3E39996E" w:rsidR="00C6153B"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Interpretar la primera versión del software desarrollada por un practicante anterior para saber </w:t>
      </w:r>
      <w:r w:rsidR="00FF13D8">
        <w:rPr>
          <w:rFonts w:ascii="Century Gothic" w:hAnsi="Century Gothic" w:cs="Arial"/>
          <w:sz w:val="22"/>
          <w:szCs w:val="22"/>
        </w:rPr>
        <w:t>dónde</w:t>
      </w:r>
      <w:r>
        <w:rPr>
          <w:rFonts w:ascii="Century Gothic" w:hAnsi="Century Gothic" w:cs="Arial"/>
          <w:sz w:val="22"/>
          <w:szCs w:val="22"/>
        </w:rPr>
        <w:t xml:space="preserve"> realizar los cambios que se adapten a las nuevas políticas establecidas por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7692D62B" w:rsidR="00715F14" w:rsidRPr="00C6153B" w:rsidRDefault="00715F14"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 entre los cuales está el tiempo de ejecución que nos ayudara a comparar con el tiempo que le toma al configurador realizar los ajustes de manera manual.</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73420C60" w14:textId="2BE14D0E" w:rsidR="009033A2" w:rsidRDefault="00E353D3"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Pr>
          <w:rFonts w:ascii="Century Gothic" w:hAnsi="Century Gothic" w:cs="Arial"/>
          <w:sz w:val="22"/>
          <w:szCs w:val="22"/>
        </w:rPr>
        <w:t xml:space="preserve">muchos </w:t>
      </w:r>
      <w:r>
        <w:rPr>
          <w:rFonts w:ascii="Century Gothic" w:hAnsi="Century Gothic" w:cs="Arial"/>
          <w:sz w:val="22"/>
          <w:szCs w:val="22"/>
        </w:rPr>
        <w:t>formato</w:t>
      </w:r>
      <w:r w:rsidR="00EF6B5A">
        <w:rPr>
          <w:rFonts w:ascii="Century Gothic" w:hAnsi="Century Gothic" w:cs="Arial"/>
          <w:sz w:val="22"/>
          <w:szCs w:val="22"/>
        </w:rPr>
        <w:t>s</w:t>
      </w:r>
      <w:r>
        <w:rPr>
          <w:rFonts w:ascii="Century Gothic" w:hAnsi="Century Gothic" w:cs="Arial"/>
          <w:sz w:val="22"/>
          <w:szCs w:val="22"/>
        </w:rPr>
        <w:t xml:space="preserve"> </w:t>
      </w:r>
      <w:r w:rsidR="00EF6B5A">
        <w:rPr>
          <w:rFonts w:ascii="Century Gothic" w:hAnsi="Century Gothic" w:cs="Arial"/>
          <w:sz w:val="22"/>
          <w:szCs w:val="22"/>
        </w:rPr>
        <w:t>como</w:t>
      </w:r>
      <w:r>
        <w:rPr>
          <w:rFonts w:ascii="Century Gothic" w:hAnsi="Century Gothic" w:cs="Arial"/>
          <w:sz w:val="22"/>
          <w:szCs w:val="22"/>
        </w:rPr>
        <w:t xml:space="preserve"> texto o multimedia,</w:t>
      </w:r>
      <w:r w:rsidR="00EF6B5A">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EndPr/>
        <w:sdtContent>
          <w:r w:rsidR="009F7574">
            <w:rPr>
              <w:rFonts w:ascii="Century Gothic" w:hAnsi="Century Gothic" w:cs="Arial"/>
              <w:sz w:val="22"/>
              <w:szCs w:val="22"/>
            </w:rPr>
            <w:fldChar w:fldCharType="begin"/>
          </w:r>
          <w:r w:rsidR="009F7574">
            <w:rPr>
              <w:rFonts w:ascii="Century Gothic" w:hAnsi="Century Gothic" w:cs="Arial"/>
              <w:sz w:val="22"/>
              <w:szCs w:val="22"/>
              <w:lang w:val="es-CO"/>
            </w:rPr>
            <w:instrText xml:space="preserve"> CITATION Tar03 \l 9226 </w:instrText>
          </w:r>
          <w:r w:rsidR="009F7574">
            <w:rPr>
              <w:rFonts w:ascii="Century Gothic" w:hAnsi="Century Gothic" w:cs="Arial"/>
              <w:sz w:val="22"/>
              <w:szCs w:val="22"/>
            </w:rPr>
            <w:fldChar w:fldCharType="separate"/>
          </w:r>
          <w:r w:rsidR="009F7574">
            <w:rPr>
              <w:rFonts w:ascii="Century Gothic" w:hAnsi="Century Gothic" w:cs="Arial"/>
              <w:noProof/>
              <w:sz w:val="22"/>
              <w:szCs w:val="22"/>
              <w:lang w:val="es-CO"/>
            </w:rPr>
            <w:t xml:space="preserve"> </w:t>
          </w:r>
          <w:r w:rsidR="009F7574" w:rsidRPr="009F7574">
            <w:rPr>
              <w:rFonts w:ascii="Century Gothic" w:hAnsi="Century Gothic" w:cs="Arial"/>
              <w:noProof/>
              <w:sz w:val="22"/>
              <w:szCs w:val="22"/>
              <w:lang w:val="es-CO"/>
            </w:rPr>
            <w:t>[1]</w:t>
          </w:r>
          <w:r w:rsidR="009F7574">
            <w:rPr>
              <w:rFonts w:ascii="Century Gothic" w:hAnsi="Century Gothic" w:cs="Arial"/>
              <w:sz w:val="22"/>
              <w:szCs w:val="22"/>
            </w:rPr>
            <w:fldChar w:fldCharType="end"/>
          </w:r>
        </w:sdtContent>
      </w:sdt>
      <w:r w:rsidR="009F7574">
        <w:rPr>
          <w:rFonts w:ascii="Century Gothic" w:hAnsi="Century Gothic" w:cs="Arial"/>
          <w:sz w:val="22"/>
          <w:szCs w:val="22"/>
        </w:rPr>
        <w:t xml:space="preserve">. </w:t>
      </w:r>
    </w:p>
    <w:p w14:paraId="7D55D67E" w14:textId="77777777" w:rsidR="007E50F7" w:rsidRDefault="007E50F7" w:rsidP="00033459">
      <w:pPr>
        <w:spacing w:line="320" w:lineRule="exact"/>
        <w:jc w:val="both"/>
        <w:rPr>
          <w:rFonts w:ascii="Century Gothic" w:hAnsi="Century Gothic" w:cs="Arial"/>
          <w:sz w:val="22"/>
          <w:szCs w:val="22"/>
        </w:rPr>
      </w:pPr>
    </w:p>
    <w:p w14:paraId="4180CAE9" w14:textId="4A41653D" w:rsidR="00BA5E29" w:rsidRDefault="00BA5E29"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Las redes de telecomunicaciones son muy complejas debido a la gran cantidad de componentes que hay involucrados, por eso lo mejor para simplificar la comprensión de su funcionamiento es dividirla en partes. Por tal razón, la Organización Internacional de Normas en 1983 el modelo OSI que dividía las redes en capas, cada una de estas con </w:t>
      </w:r>
      <w:r w:rsidR="00756546">
        <w:rPr>
          <w:rFonts w:ascii="Century Gothic" w:hAnsi="Century Gothic" w:cs="Arial"/>
          <w:sz w:val="22"/>
          <w:szCs w:val="22"/>
        </w:rPr>
        <w:t>una función bien definida y con sus respectivos protocolos. 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EndPr/>
        <w:sdtContent>
          <w:r w:rsidR="00756546">
            <w:rPr>
              <w:rFonts w:ascii="Century Gothic" w:hAnsi="Century Gothic" w:cs="Arial"/>
              <w:sz w:val="22"/>
              <w:szCs w:val="22"/>
            </w:rPr>
            <w:fldChar w:fldCharType="begin"/>
          </w:r>
          <w:r w:rsidR="00756546">
            <w:rPr>
              <w:rFonts w:ascii="Century Gothic" w:hAnsi="Century Gothic" w:cs="Arial"/>
              <w:sz w:val="22"/>
              <w:szCs w:val="22"/>
              <w:lang w:val="es-CO"/>
            </w:rPr>
            <w:instrText xml:space="preserve"> CITATION And12 \l 9226 </w:instrText>
          </w:r>
          <w:r w:rsidR="00756546">
            <w:rPr>
              <w:rFonts w:ascii="Century Gothic" w:hAnsi="Century Gothic" w:cs="Arial"/>
              <w:sz w:val="22"/>
              <w:szCs w:val="22"/>
            </w:rPr>
            <w:fldChar w:fldCharType="separate"/>
          </w:r>
          <w:r w:rsidR="00756546">
            <w:rPr>
              <w:rFonts w:ascii="Century Gothic" w:hAnsi="Century Gothic" w:cs="Arial"/>
              <w:noProof/>
              <w:sz w:val="22"/>
              <w:szCs w:val="22"/>
              <w:lang w:val="es-CO"/>
            </w:rPr>
            <w:t xml:space="preserve"> </w:t>
          </w:r>
          <w:r w:rsidR="00756546" w:rsidRPr="00756546">
            <w:rPr>
              <w:rFonts w:ascii="Century Gothic" w:hAnsi="Century Gothic" w:cs="Arial"/>
              <w:noProof/>
              <w:sz w:val="22"/>
              <w:szCs w:val="22"/>
              <w:lang w:val="es-CO"/>
            </w:rPr>
            <w:t>[2]</w:t>
          </w:r>
          <w:r w:rsidR="00756546">
            <w:rPr>
              <w:rFonts w:ascii="Century Gothic" w:hAnsi="Century Gothic" w:cs="Arial"/>
              <w:sz w:val="22"/>
              <w:szCs w:val="22"/>
            </w:rPr>
            <w:fldChar w:fldCharType="end"/>
          </w:r>
        </w:sdtContent>
      </w:sdt>
      <w:r w:rsidR="00756546">
        <w:rPr>
          <w:rFonts w:ascii="Century Gothic" w:hAnsi="Century Gothic" w:cs="Arial"/>
          <w:sz w:val="22"/>
          <w:szCs w:val="22"/>
        </w:rPr>
        <w:t xml:space="preserve">. La empresa </w:t>
      </w:r>
      <w:proofErr w:type="spellStart"/>
      <w:r w:rsidR="00756546">
        <w:rPr>
          <w:rFonts w:ascii="Century Gothic" w:hAnsi="Century Gothic" w:cs="Arial"/>
          <w:sz w:val="22"/>
          <w:szCs w:val="22"/>
        </w:rPr>
        <w:t>Internexa</w:t>
      </w:r>
      <w:proofErr w:type="spellEnd"/>
      <w:r w:rsidR="00756546">
        <w:rPr>
          <w:rFonts w:ascii="Century Gothic" w:hAnsi="Century Gothic" w:cs="Arial"/>
          <w:sz w:val="22"/>
          <w:szCs w:val="22"/>
        </w:rPr>
        <w:t xml:space="preserve"> Colombia opera en las 4 primeras capas del modelo OSI dentro del mercado de las TI, pero en este proyecto el interés va a estar centrado en la segunda y tercera. </w:t>
      </w:r>
    </w:p>
    <w:p w14:paraId="49D5AAA7" w14:textId="77777777" w:rsidR="007E50F7" w:rsidRDefault="007E50F7" w:rsidP="00033459">
      <w:pPr>
        <w:spacing w:line="320" w:lineRule="exact"/>
        <w:jc w:val="both"/>
        <w:rPr>
          <w:rFonts w:ascii="Century Gothic" w:hAnsi="Century Gothic" w:cs="Arial"/>
          <w:sz w:val="22"/>
          <w:szCs w:val="22"/>
        </w:rPr>
      </w:pPr>
    </w:p>
    <w:p w14:paraId="6E6AE8E2" w14:textId="35C77AD7" w:rsidR="00D67EEB"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t>Existen dos formas por las cuales los dispositivos se comunican dentro de una red que son la Conmutación y el Enrutamiento.</w:t>
      </w:r>
    </w:p>
    <w:p w14:paraId="40C0624C" w14:textId="77777777" w:rsidR="007E50F7" w:rsidRDefault="007E50F7" w:rsidP="00033459">
      <w:pPr>
        <w:spacing w:line="320" w:lineRule="exact"/>
        <w:jc w:val="both"/>
        <w:rPr>
          <w:rFonts w:ascii="Century Gothic" w:hAnsi="Century Gothic" w:cs="Arial"/>
          <w:sz w:val="22"/>
          <w:szCs w:val="22"/>
        </w:rPr>
      </w:pPr>
    </w:p>
    <w:p w14:paraId="34C68C5B" w14:textId="5654B3AA" w:rsidR="007E50F7"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lastRenderedPageBreak/>
        <w:t xml:space="preserve">La Conmutación se define como el proceso </w:t>
      </w:r>
      <w:r w:rsidR="007E50F7">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End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643C2109" w14:textId="0A7D5595" w:rsidR="007E50F7" w:rsidRDefault="007E50F7"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End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Pr>
              <w:rFonts w:ascii="Century Gothic" w:hAnsi="Century Gothic" w:cs="Arial"/>
              <w:noProof/>
              <w:sz w:val="22"/>
              <w:szCs w:val="22"/>
              <w:lang w:val="es-CO"/>
            </w:rPr>
            <w:t xml:space="preserve"> </w:t>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0548D9EC" w14:textId="0933B18E" w:rsidR="00535201" w:rsidRDefault="00535201"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Para que los dispositivos se puedan conectar dentro de una red interconectada, estos se encuentran identificados de manera lógica con la Dirección IP (Internet </w:t>
      </w:r>
      <w:proofErr w:type="spellStart"/>
      <w:r>
        <w:rPr>
          <w:rFonts w:ascii="Century Gothic" w:hAnsi="Century Gothic" w:cs="Arial"/>
          <w:sz w:val="22"/>
          <w:szCs w:val="22"/>
        </w:rPr>
        <w:t>Protocol</w:t>
      </w:r>
      <w:proofErr w:type="spellEnd"/>
      <w:r>
        <w:rPr>
          <w:rFonts w:ascii="Century Gothic" w:hAnsi="Century Gothic" w:cs="Arial"/>
          <w:sz w:val="22"/>
          <w:szCs w:val="22"/>
        </w:rPr>
        <w:t xml:space="preserve">), que </w:t>
      </w:r>
      <w:r w:rsidR="00CD37F2">
        <w:rPr>
          <w:rFonts w:ascii="Century Gothic" w:hAnsi="Century Gothic" w:cs="Arial"/>
          <w:sz w:val="22"/>
          <w:szCs w:val="22"/>
        </w:rPr>
        <w:t>es un</w:t>
      </w:r>
      <w:r>
        <w:rPr>
          <w:rFonts w:ascii="Century Gothic" w:hAnsi="Century Gothic" w:cs="Arial"/>
          <w:sz w:val="22"/>
          <w:szCs w:val="22"/>
        </w:rPr>
        <w:t xml:space="preserve"> conjunto de números de longitud fija </w:t>
      </w:r>
      <w:r w:rsidR="00AB0932">
        <w:rPr>
          <w:rFonts w:ascii="Century Gothic" w:hAnsi="Century Gothic" w:cs="Arial"/>
          <w:sz w:val="22"/>
          <w:szCs w:val="22"/>
        </w:rPr>
        <w:t>con el cual se identifica la red y el dispositivo.</w:t>
      </w:r>
      <w:sdt>
        <w:sdtPr>
          <w:rPr>
            <w:rFonts w:ascii="Century Gothic" w:hAnsi="Century Gothic" w:cs="Arial"/>
            <w:sz w:val="22"/>
            <w:szCs w:val="22"/>
          </w:rPr>
          <w:id w:val="1852531327"/>
          <w:citation/>
        </w:sdtPr>
        <w:sdtEndPr/>
        <w:sdtContent>
          <w:r w:rsidR="00AB0932">
            <w:rPr>
              <w:rFonts w:ascii="Century Gothic" w:hAnsi="Century Gothic" w:cs="Arial"/>
              <w:sz w:val="22"/>
              <w:szCs w:val="22"/>
            </w:rPr>
            <w:fldChar w:fldCharType="begin"/>
          </w:r>
          <w:r w:rsidR="00AB0932">
            <w:rPr>
              <w:rFonts w:ascii="Century Gothic" w:hAnsi="Century Gothic" w:cs="Arial"/>
              <w:sz w:val="22"/>
              <w:szCs w:val="22"/>
              <w:lang w:val="es-CO"/>
            </w:rPr>
            <w:instrText xml:space="preserve"> CITATION Def81 \l 9226 </w:instrText>
          </w:r>
          <w:r w:rsidR="00AB0932">
            <w:rPr>
              <w:rFonts w:ascii="Century Gothic" w:hAnsi="Century Gothic" w:cs="Arial"/>
              <w:sz w:val="22"/>
              <w:szCs w:val="22"/>
            </w:rPr>
            <w:fldChar w:fldCharType="separate"/>
          </w:r>
          <w:r w:rsidR="00AB0932">
            <w:rPr>
              <w:rFonts w:ascii="Century Gothic" w:hAnsi="Century Gothic" w:cs="Arial"/>
              <w:noProof/>
              <w:sz w:val="22"/>
              <w:szCs w:val="22"/>
              <w:lang w:val="es-CO"/>
            </w:rPr>
            <w:t xml:space="preserve"> </w:t>
          </w:r>
          <w:r w:rsidR="00AB0932" w:rsidRPr="00AB0932">
            <w:rPr>
              <w:rFonts w:ascii="Century Gothic" w:hAnsi="Century Gothic" w:cs="Arial"/>
              <w:noProof/>
              <w:sz w:val="22"/>
              <w:szCs w:val="22"/>
              <w:lang w:val="es-CO"/>
            </w:rPr>
            <w:t>[4]</w:t>
          </w:r>
          <w:r w:rsidR="00AB0932">
            <w:rPr>
              <w:rFonts w:ascii="Century Gothic" w:hAnsi="Century Gothic" w:cs="Arial"/>
              <w:sz w:val="22"/>
              <w:szCs w:val="22"/>
            </w:rPr>
            <w:fldChar w:fldCharType="end"/>
          </w:r>
        </w:sdtContent>
      </w:sdt>
    </w:p>
    <w:p w14:paraId="6BADC0C7" w14:textId="4B2D949A" w:rsidR="001B0E7E" w:rsidRDefault="00CD37F2"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rPr>
        <w:t xml:space="preserve">El enrutamiento por medio de la dirección IP se va volviendo complejo e ineficiente a la hora de interconectar y más para el caso de los proveedores que llevan gran cantidad de tráfico a través de sus redes. Para solventar este inconveniente, la IETF </w:t>
      </w:r>
      <w:r w:rsidRPr="00CD37F2">
        <w:rPr>
          <w:rFonts w:ascii="Century Gothic" w:hAnsi="Century Gothic" w:cs="Arial"/>
          <w:sz w:val="22"/>
          <w:szCs w:val="22"/>
        </w:rPr>
        <w:t>(</w:t>
      </w:r>
      <w:r w:rsidRPr="00CD37F2">
        <w:rPr>
          <w:rFonts w:ascii="Century Gothic" w:hAnsi="Century Gothic" w:cs="Arial"/>
          <w:sz w:val="22"/>
          <w:szCs w:val="22"/>
          <w:shd w:val="clear" w:color="auto" w:fill="FFFFFF"/>
        </w:rPr>
        <w:t xml:space="preserve">Internet </w:t>
      </w:r>
      <w:proofErr w:type="spellStart"/>
      <w:r w:rsidRPr="00CD37F2">
        <w:rPr>
          <w:rFonts w:ascii="Century Gothic" w:hAnsi="Century Gothic" w:cs="Arial"/>
          <w:sz w:val="22"/>
          <w:szCs w:val="22"/>
          <w:shd w:val="clear" w:color="auto" w:fill="FFFFFF"/>
        </w:rPr>
        <w:t>Engineering</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Task</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Force</w:t>
      </w:r>
      <w:proofErr w:type="spellEnd"/>
      <w:r w:rsidRPr="00CD37F2">
        <w:rPr>
          <w:rFonts w:ascii="Century Gothic" w:hAnsi="Century Gothic" w:cs="Arial"/>
          <w:sz w:val="22"/>
          <w:szCs w:val="22"/>
          <w:shd w:val="clear" w:color="auto" w:fill="FFFFFF"/>
        </w:rPr>
        <w:t>)</w:t>
      </w:r>
      <w:r>
        <w:rPr>
          <w:rFonts w:ascii="Century Gothic" w:hAnsi="Century Gothic" w:cs="Arial"/>
          <w:sz w:val="22"/>
          <w:szCs w:val="22"/>
          <w:shd w:val="clear" w:color="auto" w:fill="FFFFFF"/>
        </w:rPr>
        <w:t>, que es una organización que ayuda a mejorar el trabajo en internet, crea la arquitectura MPLS (</w:t>
      </w:r>
      <w:proofErr w:type="spellStart"/>
      <w:r>
        <w:rPr>
          <w:rFonts w:ascii="Century Gothic" w:hAnsi="Century Gothic" w:cs="Arial"/>
          <w:sz w:val="22"/>
          <w:szCs w:val="22"/>
          <w:shd w:val="clear" w:color="auto" w:fill="FFFFFF"/>
        </w:rPr>
        <w:t>MultiProtocol</w:t>
      </w:r>
      <w:proofErr w:type="spellEnd"/>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Label</w:t>
      </w:r>
      <w:proofErr w:type="spellEnd"/>
      <w:r>
        <w:rPr>
          <w:rFonts w:ascii="Century Gothic" w:hAnsi="Century Gothic" w:cs="Arial"/>
          <w:sz w:val="22"/>
          <w:szCs w:val="22"/>
          <w:shd w:val="clear" w:color="auto" w:fill="FFFFFF"/>
        </w:rPr>
        <w:t xml:space="preserve"> </w:t>
      </w:r>
      <w:proofErr w:type="spellStart"/>
      <w:r w:rsidR="00F158C7">
        <w:rPr>
          <w:rFonts w:ascii="Century Gothic" w:hAnsi="Century Gothic" w:cs="Arial"/>
          <w:sz w:val="22"/>
          <w:szCs w:val="22"/>
          <w:shd w:val="clear" w:color="auto" w:fill="FFFFFF"/>
        </w:rPr>
        <w:t>Switching</w:t>
      </w:r>
      <w:proofErr w:type="spellEnd"/>
      <w:r w:rsidR="00F158C7">
        <w:rPr>
          <w:rFonts w:ascii="Century Gothic" w:hAnsi="Century Gothic" w:cs="Arial"/>
          <w:sz w:val="22"/>
          <w:szCs w:val="22"/>
          <w:shd w:val="clear" w:color="auto" w:fill="FFFFFF"/>
        </w:rPr>
        <w:t xml:space="preserve">) que consiste en la creación de una ruta para que los paquetes viajen a través de la red </w:t>
      </w:r>
      <w:proofErr w:type="spellStart"/>
      <w:r w:rsidR="00F158C7">
        <w:rPr>
          <w:rFonts w:ascii="Century Gothic" w:hAnsi="Century Gothic" w:cs="Arial"/>
          <w:sz w:val="22"/>
          <w:szCs w:val="22"/>
          <w:shd w:val="clear" w:color="auto" w:fill="FFFFFF"/>
        </w:rPr>
        <w:t>backbone</w:t>
      </w:r>
      <w:proofErr w:type="spellEnd"/>
      <w:r w:rsidR="00F158C7">
        <w:rPr>
          <w:rFonts w:ascii="Century Gothic" w:hAnsi="Century Gothic" w:cs="Arial"/>
          <w:sz w:val="22"/>
          <w:szCs w:val="22"/>
          <w:shd w:val="clear" w:color="auto" w:fill="FFFFFF"/>
        </w:rPr>
        <w:t>,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EndPr/>
        <w:sdtContent>
          <w:r w:rsidR="00F158C7">
            <w:rPr>
              <w:rFonts w:ascii="Century Gothic" w:hAnsi="Century Gothic" w:cs="Arial"/>
              <w:sz w:val="22"/>
              <w:szCs w:val="22"/>
              <w:shd w:val="clear" w:color="auto" w:fill="FFFFFF"/>
            </w:rPr>
            <w:fldChar w:fldCharType="begin"/>
          </w:r>
          <w:r w:rsidR="00F158C7">
            <w:rPr>
              <w:rFonts w:ascii="Century Gothic" w:hAnsi="Century Gothic" w:cs="Arial"/>
              <w:sz w:val="22"/>
              <w:szCs w:val="22"/>
              <w:shd w:val="clear" w:color="auto" w:fill="FFFFFF"/>
              <w:lang w:val="es-CO"/>
            </w:rPr>
            <w:instrText xml:space="preserve"> CITATION Ros01 \l 9226 </w:instrText>
          </w:r>
          <w:r w:rsidR="00F158C7">
            <w:rPr>
              <w:rFonts w:ascii="Century Gothic" w:hAnsi="Century Gothic" w:cs="Arial"/>
              <w:sz w:val="22"/>
              <w:szCs w:val="22"/>
              <w:shd w:val="clear" w:color="auto" w:fill="FFFFFF"/>
            </w:rPr>
            <w:fldChar w:fldCharType="separate"/>
          </w:r>
          <w:r w:rsidR="00F158C7">
            <w:rPr>
              <w:rFonts w:ascii="Century Gothic" w:hAnsi="Century Gothic" w:cs="Arial"/>
              <w:noProof/>
              <w:sz w:val="22"/>
              <w:szCs w:val="22"/>
              <w:shd w:val="clear" w:color="auto" w:fill="FFFFFF"/>
              <w:lang w:val="es-CO"/>
            </w:rPr>
            <w:t xml:space="preserve"> </w:t>
          </w:r>
          <w:r w:rsidR="00F158C7" w:rsidRPr="00F158C7">
            <w:rPr>
              <w:rFonts w:ascii="Century Gothic" w:hAnsi="Century Gothic" w:cs="Arial"/>
              <w:noProof/>
              <w:sz w:val="22"/>
              <w:szCs w:val="22"/>
              <w:shd w:val="clear" w:color="auto" w:fill="FFFFFF"/>
              <w:lang w:val="es-CO"/>
            </w:rPr>
            <w:t>[5]</w:t>
          </w:r>
          <w:r w:rsidR="00F158C7">
            <w:rPr>
              <w:rFonts w:ascii="Century Gothic" w:hAnsi="Century Gothic" w:cs="Arial"/>
              <w:sz w:val="22"/>
              <w:szCs w:val="22"/>
              <w:shd w:val="clear" w:color="auto" w:fill="FFFFFF"/>
            </w:rPr>
            <w:fldChar w:fldCharType="end"/>
          </w:r>
        </w:sdtContent>
      </w:sdt>
      <w:r w:rsidR="00F158C7">
        <w:rPr>
          <w:rFonts w:ascii="Century Gothic" w:hAnsi="Century Gothic" w:cs="Arial"/>
          <w:sz w:val="22"/>
          <w:szCs w:val="22"/>
          <w:shd w:val="clear" w:color="auto" w:fill="FFFFFF"/>
        </w:rPr>
        <w:t>. Una de las ventajas que tiene MPLS es que a pesar de que está basado en IPv4</w:t>
      </w:r>
      <w:r w:rsidR="001B0E7E">
        <w:rPr>
          <w:rFonts w:ascii="Century Gothic" w:hAnsi="Century Gothic" w:cs="Arial"/>
          <w:sz w:val="22"/>
          <w:szCs w:val="22"/>
          <w:shd w:val="clear" w:color="auto" w:fill="FFFFFF"/>
        </w:rPr>
        <w:t xml:space="preserve">, se puede extender a otros protocolos como IPv6 o IPX (Internet </w:t>
      </w:r>
      <w:proofErr w:type="spellStart"/>
      <w:r w:rsidR="001B0E7E">
        <w:rPr>
          <w:rFonts w:ascii="Century Gothic" w:hAnsi="Century Gothic" w:cs="Arial"/>
          <w:sz w:val="22"/>
          <w:szCs w:val="22"/>
          <w:shd w:val="clear" w:color="auto" w:fill="FFFFFF"/>
        </w:rPr>
        <w:t>Packet</w:t>
      </w:r>
      <w:proofErr w:type="spellEnd"/>
      <w:r w:rsidR="001B0E7E">
        <w:rPr>
          <w:rFonts w:ascii="Century Gothic" w:hAnsi="Century Gothic" w:cs="Arial"/>
          <w:sz w:val="22"/>
          <w:szCs w:val="22"/>
          <w:shd w:val="clear" w:color="auto" w:fill="FFFFFF"/>
        </w:rPr>
        <w:t xml:space="preserve"> Exchange), asegurando la transmisión de los datos.</w:t>
      </w:r>
      <w:sdt>
        <w:sdtPr>
          <w:rPr>
            <w:rFonts w:ascii="Century Gothic" w:hAnsi="Century Gothic" w:cs="Arial"/>
            <w:sz w:val="22"/>
            <w:szCs w:val="22"/>
            <w:shd w:val="clear" w:color="auto" w:fill="FFFFFF"/>
          </w:rPr>
          <w:id w:val="1656955258"/>
          <w:citation/>
        </w:sdtPr>
        <w:sdtEnd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Hua20 \l 9226 </w:instrText>
          </w:r>
          <w:r w:rsidR="001B0E7E">
            <w:rPr>
              <w:rFonts w:ascii="Century Gothic" w:hAnsi="Century Gothic" w:cs="Arial"/>
              <w:sz w:val="22"/>
              <w:szCs w:val="22"/>
              <w:shd w:val="clear" w:color="auto" w:fill="FFFFFF"/>
            </w:rPr>
            <w:fldChar w:fldCharType="separate"/>
          </w:r>
          <w:r w:rsidR="001B0E7E">
            <w:rPr>
              <w:rFonts w:ascii="Century Gothic" w:hAnsi="Century Gothic" w:cs="Arial"/>
              <w:noProof/>
              <w:sz w:val="22"/>
              <w:szCs w:val="22"/>
              <w:shd w:val="clear" w:color="auto" w:fill="FFFFFF"/>
              <w:lang w:val="es-CO"/>
            </w:rPr>
            <w:t xml:space="preserve"> </w:t>
          </w:r>
          <w:r w:rsidR="001B0E7E" w:rsidRPr="001B0E7E">
            <w:rPr>
              <w:rFonts w:ascii="Century Gothic" w:hAnsi="Century Gothic" w:cs="Arial"/>
              <w:noProof/>
              <w:sz w:val="22"/>
              <w:szCs w:val="22"/>
              <w:shd w:val="clear" w:color="auto" w:fill="FFFFFF"/>
              <w:lang w:val="es-CO"/>
            </w:rPr>
            <w:t>[6]</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Comúnmente es conocido como un protocolo de capa 2.5 porque necesita de un IGP (Interior Gateway </w:t>
      </w:r>
      <w:proofErr w:type="spellStart"/>
      <w:r w:rsidR="001B0E7E">
        <w:rPr>
          <w:rFonts w:ascii="Century Gothic" w:hAnsi="Century Gothic" w:cs="Arial"/>
          <w:sz w:val="22"/>
          <w:szCs w:val="22"/>
          <w:shd w:val="clear" w:color="auto" w:fill="FFFFFF"/>
        </w:rPr>
        <w:t>Protocol</w:t>
      </w:r>
      <w:proofErr w:type="spellEnd"/>
      <w:r w:rsidR="001B0E7E">
        <w:rPr>
          <w:rFonts w:ascii="Century Gothic" w:hAnsi="Century Gothic" w:cs="Arial"/>
          <w:sz w:val="22"/>
          <w:szCs w:val="22"/>
          <w:shd w:val="clear" w:color="auto" w:fill="FFFFFF"/>
        </w:rPr>
        <w:t xml:space="preserve">)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End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Mon21 \l 9226 </w:instrText>
          </w:r>
          <w:r w:rsidR="001B0E7E">
            <w:rPr>
              <w:rFonts w:ascii="Century Gothic" w:hAnsi="Century Gothic" w:cs="Arial"/>
              <w:sz w:val="22"/>
              <w:szCs w:val="22"/>
              <w:shd w:val="clear" w:color="auto" w:fill="FFFFFF"/>
            </w:rPr>
            <w:fldChar w:fldCharType="separate"/>
          </w:r>
          <w:r w:rsidR="001B0E7E" w:rsidRPr="001B0E7E">
            <w:rPr>
              <w:rFonts w:ascii="Century Gothic" w:hAnsi="Century Gothic" w:cs="Arial"/>
              <w:noProof/>
              <w:sz w:val="22"/>
              <w:szCs w:val="22"/>
              <w:shd w:val="clear" w:color="auto" w:fill="FFFFFF"/>
              <w:lang w:val="es-CO"/>
            </w:rPr>
            <w:t>[7]</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w:t>
      </w:r>
    </w:p>
    <w:p w14:paraId="2EAAB023" w14:textId="1A366011" w:rsidR="00D02230" w:rsidRDefault="00D02230"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Para aprovechar las ventajas de la arquitectura </w:t>
      </w:r>
      <w:r w:rsidR="009803D9">
        <w:rPr>
          <w:rFonts w:ascii="Century Gothic" w:hAnsi="Century Gothic" w:cs="Arial"/>
          <w:sz w:val="22"/>
          <w:szCs w:val="22"/>
          <w:shd w:val="clear" w:color="auto" w:fill="FFFFFF"/>
        </w:rPr>
        <w:t>mencionada anteriormente</w:t>
      </w:r>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Internexa</w:t>
      </w:r>
      <w:proofErr w:type="spellEnd"/>
      <w:r>
        <w:rPr>
          <w:rFonts w:ascii="Century Gothic" w:hAnsi="Century Gothic" w:cs="Arial"/>
          <w:sz w:val="22"/>
          <w:szCs w:val="22"/>
          <w:shd w:val="clear" w:color="auto" w:fill="FFFFFF"/>
        </w:rPr>
        <w:t xml:space="preserve"> Colombia tiene </w:t>
      </w:r>
      <w:r w:rsidR="009803D9">
        <w:rPr>
          <w:rFonts w:ascii="Century Gothic" w:hAnsi="Century Gothic" w:cs="Arial"/>
          <w:sz w:val="22"/>
          <w:szCs w:val="22"/>
          <w:shd w:val="clear" w:color="auto" w:fill="FFFFFF"/>
        </w:rPr>
        <w:t>funcionando desde el año 2011 su red MPLS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MPLS TE (</w:t>
      </w:r>
      <w:proofErr w:type="spellStart"/>
      <w:r w:rsidR="009803D9">
        <w:rPr>
          <w:rFonts w:ascii="Century Gothic" w:hAnsi="Century Gothic" w:cs="Arial"/>
          <w:sz w:val="22"/>
          <w:szCs w:val="22"/>
          <w:shd w:val="clear" w:color="auto" w:fill="FFFFFF"/>
        </w:rPr>
        <w:t>Traffic</w:t>
      </w:r>
      <w:proofErr w:type="spellEnd"/>
      <w:r w:rsidR="009803D9">
        <w:rPr>
          <w:rFonts w:ascii="Century Gothic" w:hAnsi="Century Gothic" w:cs="Arial"/>
          <w:sz w:val="22"/>
          <w:szCs w:val="22"/>
          <w:shd w:val="clear" w:color="auto" w:fill="FFFFFF"/>
        </w:rPr>
        <w:t xml:space="preserve"> </w:t>
      </w:r>
      <w:proofErr w:type="spellStart"/>
      <w:r w:rsidR="009803D9">
        <w:rPr>
          <w:rFonts w:ascii="Century Gothic" w:hAnsi="Century Gothic" w:cs="Arial"/>
          <w:sz w:val="22"/>
          <w:szCs w:val="22"/>
          <w:shd w:val="clear" w:color="auto" w:fill="FFFFFF"/>
        </w:rPr>
        <w:t>Engineering</w:t>
      </w:r>
      <w:proofErr w:type="spellEnd"/>
      <w:r w:rsidR="009803D9">
        <w:rPr>
          <w:rFonts w:ascii="Century Gothic" w:hAnsi="Century Gothic" w:cs="Arial"/>
          <w:sz w:val="22"/>
          <w:szCs w:val="22"/>
          <w:shd w:val="clear" w:color="auto" w:fill="FFFFFF"/>
        </w:rPr>
        <w:t>) que facilita la detección y corrección de fallos.</w:t>
      </w:r>
      <w:sdt>
        <w:sdtPr>
          <w:rPr>
            <w:rFonts w:ascii="Century Gothic" w:hAnsi="Century Gothic" w:cs="Arial"/>
            <w:sz w:val="22"/>
            <w:szCs w:val="22"/>
            <w:shd w:val="clear" w:color="auto" w:fill="FFFFFF"/>
          </w:rPr>
          <w:id w:val="-817115487"/>
          <w:citation/>
        </w:sdtPr>
        <w:sdtEndPr/>
        <w:sdtContent>
          <w:r w:rsidR="009803D9">
            <w:rPr>
              <w:rFonts w:ascii="Century Gothic" w:hAnsi="Century Gothic" w:cs="Arial"/>
              <w:sz w:val="22"/>
              <w:szCs w:val="22"/>
              <w:shd w:val="clear" w:color="auto" w:fill="FFFFFF"/>
            </w:rPr>
            <w:fldChar w:fldCharType="begin"/>
          </w:r>
          <w:r w:rsidR="009803D9">
            <w:rPr>
              <w:rFonts w:ascii="Century Gothic" w:hAnsi="Century Gothic" w:cs="Arial"/>
              <w:sz w:val="22"/>
              <w:szCs w:val="22"/>
              <w:shd w:val="clear" w:color="auto" w:fill="FFFFFF"/>
              <w:lang w:val="es-CO"/>
            </w:rPr>
            <w:instrText xml:space="preserve"> CITATION Mon21 \l 9226 </w:instrText>
          </w:r>
          <w:r w:rsidR="009803D9">
            <w:rPr>
              <w:rFonts w:ascii="Century Gothic" w:hAnsi="Century Gothic" w:cs="Arial"/>
              <w:sz w:val="22"/>
              <w:szCs w:val="22"/>
              <w:shd w:val="clear" w:color="auto" w:fill="FFFFFF"/>
            </w:rPr>
            <w:fldChar w:fldCharType="separate"/>
          </w:r>
          <w:r w:rsidR="009803D9">
            <w:rPr>
              <w:rFonts w:ascii="Century Gothic" w:hAnsi="Century Gothic" w:cs="Arial"/>
              <w:noProof/>
              <w:sz w:val="22"/>
              <w:szCs w:val="22"/>
              <w:shd w:val="clear" w:color="auto" w:fill="FFFFFF"/>
              <w:lang w:val="es-CO"/>
            </w:rPr>
            <w:t xml:space="preserve"> </w:t>
          </w:r>
          <w:r w:rsidR="009803D9" w:rsidRPr="009803D9">
            <w:rPr>
              <w:rFonts w:ascii="Century Gothic" w:hAnsi="Century Gothic" w:cs="Arial"/>
              <w:noProof/>
              <w:sz w:val="22"/>
              <w:szCs w:val="22"/>
              <w:shd w:val="clear" w:color="auto" w:fill="FFFFFF"/>
              <w:lang w:val="es-CO"/>
            </w:rPr>
            <w:t>[7]</w:t>
          </w:r>
          <w:r w:rsidR="009803D9">
            <w:rPr>
              <w:rFonts w:ascii="Century Gothic" w:hAnsi="Century Gothic" w:cs="Arial"/>
              <w:sz w:val="22"/>
              <w:szCs w:val="22"/>
              <w:shd w:val="clear" w:color="auto" w:fill="FFFFFF"/>
            </w:rPr>
            <w:fldChar w:fldCharType="end"/>
          </w:r>
        </w:sdtContent>
      </w:sdt>
    </w:p>
    <w:p w14:paraId="33103588" w14:textId="770A7567" w:rsidR="003D703D" w:rsidRDefault="003D703D"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Por esta topología pasa varios servicios entre los cuales se encuentran los de ETHE e INTE.  </w:t>
      </w:r>
      <w:r w:rsidR="00C57B7F">
        <w:rPr>
          <w:rFonts w:ascii="Century Gothic" w:hAnsi="Century Gothic" w:cs="Arial"/>
          <w:sz w:val="22"/>
          <w:szCs w:val="22"/>
          <w:shd w:val="clear" w:color="auto" w:fill="FFFFFF"/>
        </w:rPr>
        <w:t xml:space="preserve">Un servicio ETHE consiste en la creación conexiones punto a punto o multipunto para uno o varios clientes, donde puede pasar tráfico en forma de servicios de voz, telefonía, datos internos del cliente o </w:t>
      </w:r>
      <w:proofErr w:type="spellStart"/>
      <w:r w:rsidR="00C57B7F">
        <w:rPr>
          <w:rFonts w:ascii="Century Gothic" w:hAnsi="Century Gothic" w:cs="Arial"/>
          <w:sz w:val="22"/>
          <w:szCs w:val="22"/>
          <w:shd w:val="clear" w:color="auto" w:fill="FFFFFF"/>
        </w:rPr>
        <w:t>cloud</w:t>
      </w:r>
      <w:proofErr w:type="spellEnd"/>
      <w:r w:rsidR="00C57B7F">
        <w:rPr>
          <w:rFonts w:ascii="Century Gothic" w:hAnsi="Century Gothic" w:cs="Arial"/>
          <w:sz w:val="22"/>
          <w:szCs w:val="22"/>
          <w:shd w:val="clear" w:color="auto" w:fill="FFFFFF"/>
        </w:rPr>
        <w:t xml:space="preserve"> a nivel de capa 2 del modelo OSI, lo que significa que no hay salida a </w:t>
      </w:r>
      <w:r w:rsidR="00E72149">
        <w:rPr>
          <w:rFonts w:ascii="Century Gothic" w:hAnsi="Century Gothic" w:cs="Arial"/>
          <w:sz w:val="22"/>
          <w:szCs w:val="22"/>
          <w:shd w:val="clear" w:color="auto" w:fill="FFFFFF"/>
        </w:rPr>
        <w:t>I</w:t>
      </w:r>
      <w:r w:rsidR="00C57B7F">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EndPr/>
        <w:sdtContent>
          <w:r w:rsidR="00C57B7F">
            <w:rPr>
              <w:rFonts w:ascii="Century Gothic" w:hAnsi="Century Gothic" w:cs="Arial"/>
              <w:sz w:val="22"/>
              <w:szCs w:val="22"/>
              <w:shd w:val="clear" w:color="auto" w:fill="FFFFFF"/>
            </w:rPr>
            <w:fldChar w:fldCharType="begin"/>
          </w:r>
          <w:r w:rsidR="00C57B7F">
            <w:rPr>
              <w:rFonts w:ascii="Century Gothic" w:hAnsi="Century Gothic" w:cs="Arial"/>
              <w:sz w:val="22"/>
              <w:szCs w:val="22"/>
              <w:shd w:val="clear" w:color="auto" w:fill="FFFFFF"/>
              <w:lang w:val="es-CO"/>
            </w:rPr>
            <w:instrText xml:space="preserve"> CITATION Lui20 \l 9226 </w:instrText>
          </w:r>
          <w:r w:rsidR="00C57B7F">
            <w:rPr>
              <w:rFonts w:ascii="Century Gothic" w:hAnsi="Century Gothic" w:cs="Arial"/>
              <w:sz w:val="22"/>
              <w:szCs w:val="22"/>
              <w:shd w:val="clear" w:color="auto" w:fill="FFFFFF"/>
            </w:rPr>
            <w:fldChar w:fldCharType="separate"/>
          </w:r>
          <w:r w:rsidR="00C57B7F" w:rsidRPr="00C57B7F">
            <w:rPr>
              <w:rFonts w:ascii="Century Gothic" w:hAnsi="Century Gothic" w:cs="Arial"/>
              <w:noProof/>
              <w:sz w:val="22"/>
              <w:szCs w:val="22"/>
              <w:shd w:val="clear" w:color="auto" w:fill="FFFFFF"/>
              <w:lang w:val="es-CO"/>
            </w:rPr>
            <w:t>[8]</w:t>
          </w:r>
          <w:r w:rsidR="00C57B7F">
            <w:rPr>
              <w:rFonts w:ascii="Century Gothic" w:hAnsi="Century Gothic" w:cs="Arial"/>
              <w:sz w:val="22"/>
              <w:szCs w:val="22"/>
              <w:shd w:val="clear" w:color="auto" w:fill="FFFFFF"/>
            </w:rPr>
            <w:fldChar w:fldCharType="end"/>
          </w:r>
        </w:sdtContent>
      </w:sdt>
      <w:r w:rsidR="00C57B7F">
        <w:rPr>
          <w:rFonts w:ascii="Century Gothic" w:hAnsi="Century Gothic" w:cs="Arial"/>
          <w:sz w:val="22"/>
          <w:szCs w:val="22"/>
          <w:shd w:val="clear" w:color="auto" w:fill="FFFFFF"/>
        </w:rPr>
        <w:t xml:space="preserve"> </w:t>
      </w:r>
    </w:p>
    <w:p w14:paraId="398ADD25" w14:textId="05B9CE0F" w:rsidR="00D67EEB" w:rsidRPr="000854A6" w:rsidRDefault="00C57B7F"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INTE es un servicio </w:t>
      </w:r>
      <w:r w:rsidR="00E72149">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CDN que hay dentro de la red de </w:t>
      </w:r>
      <w:proofErr w:type="spellStart"/>
      <w:r w:rsidR="00E72149">
        <w:rPr>
          <w:rFonts w:ascii="Century Gothic" w:hAnsi="Century Gothic" w:cs="Arial"/>
          <w:sz w:val="22"/>
          <w:szCs w:val="22"/>
          <w:shd w:val="clear" w:color="auto" w:fill="FFFFFF"/>
        </w:rPr>
        <w:t>Internexa</w:t>
      </w:r>
      <w:proofErr w:type="spellEnd"/>
      <w:r w:rsidR="00E72149">
        <w:rPr>
          <w:rFonts w:ascii="Century Gothic" w:hAnsi="Century Gothic" w:cs="Arial"/>
          <w:sz w:val="22"/>
          <w:szCs w:val="22"/>
          <w:shd w:val="clear" w:color="auto" w:fill="FFFFFF"/>
        </w:rPr>
        <w:t xml:space="preserve">. Al igual que en ETHE, las conexiones pueden ser punto a punto o multipunto, operando dentro de las capas 2 y 3 del modelo OSI. </w:t>
      </w:r>
      <w:sdt>
        <w:sdtPr>
          <w:rPr>
            <w:rFonts w:ascii="Century Gothic" w:hAnsi="Century Gothic" w:cs="Arial"/>
            <w:sz w:val="22"/>
            <w:szCs w:val="22"/>
            <w:shd w:val="clear" w:color="auto" w:fill="FFFFFF"/>
          </w:rPr>
          <w:id w:val="1694029870"/>
          <w:citation/>
        </w:sdtPr>
        <w:sdtEnd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Lui20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[8]</w:t>
          </w:r>
          <w:r w:rsidR="00E72149">
            <w:rPr>
              <w:rFonts w:ascii="Century Gothic" w:hAnsi="Century Gothic" w:cs="Arial"/>
              <w:sz w:val="22"/>
              <w:szCs w:val="22"/>
              <w:shd w:val="clear" w:color="auto" w:fill="FFFFFF"/>
            </w:rPr>
            <w:fldChar w:fldCharType="end"/>
          </w:r>
        </w:sdtContent>
      </w:sdt>
      <w:r w:rsidR="00E72149">
        <w:rPr>
          <w:rFonts w:ascii="Century Gothic" w:hAnsi="Century Gothic" w:cs="Arial"/>
          <w:sz w:val="22"/>
          <w:szCs w:val="22"/>
          <w:shd w:val="clear" w:color="auto" w:fill="FFFFFF"/>
        </w:rPr>
        <w:t xml:space="preserve">. Dentro de la empresa este servicio es conocido como una configuración ETHE con salida a Internet. </w:t>
      </w:r>
      <w:sdt>
        <w:sdtPr>
          <w:rPr>
            <w:rFonts w:ascii="Century Gothic" w:hAnsi="Century Gothic" w:cs="Arial"/>
            <w:sz w:val="22"/>
            <w:szCs w:val="22"/>
            <w:shd w:val="clear" w:color="auto" w:fill="FFFFFF"/>
          </w:rPr>
          <w:id w:val="-452710772"/>
          <w:citation/>
        </w:sdtPr>
        <w:sdtEnd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Mon21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[7]</w:t>
          </w:r>
          <w:r w:rsidR="00E72149">
            <w:rPr>
              <w:rFonts w:ascii="Century Gothic" w:hAnsi="Century Gothic" w:cs="Arial"/>
              <w:sz w:val="22"/>
              <w:szCs w:val="22"/>
              <w:shd w:val="clear" w:color="auto" w:fill="FFFFFF"/>
            </w:rPr>
            <w:fldChar w:fldCharType="end"/>
          </w:r>
        </w:sdtContent>
      </w:sdt>
    </w:p>
    <w:p w14:paraId="7CC1E232" w14:textId="350F9239" w:rsidR="000854A6" w:rsidRPr="00733773" w:rsidRDefault="00A777D1" w:rsidP="000854A6">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lastRenderedPageBreak/>
        <w:t>Metodología</w:t>
      </w:r>
    </w:p>
    <w:tbl>
      <w:tblPr>
        <w:tblW w:w="8480" w:type="dxa"/>
        <w:tblInd w:w="-5" w:type="dxa"/>
        <w:tblCellMar>
          <w:left w:w="70" w:type="dxa"/>
          <w:right w:w="70" w:type="dxa"/>
        </w:tblCellMar>
        <w:tblLook w:val="04A0" w:firstRow="1" w:lastRow="0" w:firstColumn="1" w:lastColumn="0" w:noHBand="0" w:noVBand="1"/>
      </w:tblPr>
      <w:tblGrid>
        <w:gridCol w:w="1300"/>
        <w:gridCol w:w="7180"/>
      </w:tblGrid>
      <w:tr w:rsidR="00097609" w14:paraId="5C2EA609" w14:textId="77777777" w:rsidTr="000854A6">
        <w:trPr>
          <w:trHeight w:val="345"/>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54B2E" w14:textId="77777777" w:rsidR="00097609" w:rsidRDefault="00097609">
            <w:pPr>
              <w:jc w:val="center"/>
              <w:rPr>
                <w:rFonts w:ascii="Century Gothic" w:hAnsi="Century Gothic" w:cs="Calibri"/>
                <w:b/>
                <w:bCs/>
                <w:color w:val="000000"/>
                <w:lang w:val="es-CO" w:eastAsia="es-CO"/>
              </w:rPr>
            </w:pPr>
            <w:r>
              <w:rPr>
                <w:rFonts w:ascii="Century Gothic" w:hAnsi="Century Gothic" w:cs="Calibri"/>
                <w:b/>
                <w:bCs/>
                <w:color w:val="000000"/>
              </w:rPr>
              <w:t>Objetivo 1</w:t>
            </w:r>
          </w:p>
        </w:tc>
        <w:tc>
          <w:tcPr>
            <w:tcW w:w="7180" w:type="dxa"/>
            <w:tcBorders>
              <w:top w:val="single" w:sz="4" w:space="0" w:color="auto"/>
              <w:left w:val="nil"/>
              <w:bottom w:val="single" w:sz="4" w:space="0" w:color="auto"/>
              <w:right w:val="single" w:sz="4" w:space="0" w:color="auto"/>
            </w:tcBorders>
            <w:shd w:val="clear" w:color="auto" w:fill="auto"/>
            <w:noWrap/>
            <w:vAlign w:val="bottom"/>
            <w:hideMark/>
          </w:tcPr>
          <w:p w14:paraId="50620A36" w14:textId="4DCB9FF8" w:rsidR="00097609" w:rsidRDefault="00097609">
            <w:pPr>
              <w:rPr>
                <w:rFonts w:ascii="Century Gothic" w:hAnsi="Century Gothic" w:cs="Calibri"/>
                <w:color w:val="000000"/>
              </w:rPr>
            </w:pPr>
            <w:r>
              <w:rPr>
                <w:rFonts w:ascii="Century Gothic" w:hAnsi="Century Gothic" w:cs="Calibri"/>
                <w:color w:val="000000"/>
              </w:rPr>
              <w:t xml:space="preserve">Asistir a sesiones con los compañeros de </w:t>
            </w:r>
            <w:r w:rsidR="00453317">
              <w:rPr>
                <w:rFonts w:ascii="Century Gothic" w:hAnsi="Century Gothic" w:cs="Calibri"/>
                <w:color w:val="000000"/>
              </w:rPr>
              <w:t>configuración</w:t>
            </w:r>
            <w:r>
              <w:rPr>
                <w:rFonts w:ascii="Century Gothic" w:hAnsi="Century Gothic" w:cs="Calibri"/>
                <w:color w:val="000000"/>
              </w:rPr>
              <w:t>.</w:t>
            </w:r>
          </w:p>
        </w:tc>
      </w:tr>
      <w:tr w:rsidR="00097609" w14:paraId="3DA6372C" w14:textId="77777777" w:rsidTr="000854A6">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04A4A11B"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AC5499F" w14:textId="77777777" w:rsidR="00097609" w:rsidRDefault="00097609">
            <w:pPr>
              <w:rPr>
                <w:rFonts w:ascii="Century Gothic" w:hAnsi="Century Gothic" w:cs="Calibri"/>
                <w:color w:val="000000"/>
              </w:rPr>
            </w:pPr>
            <w:r>
              <w:rPr>
                <w:rFonts w:ascii="Century Gothic" w:hAnsi="Century Gothic" w:cs="Calibri"/>
                <w:color w:val="000000"/>
              </w:rPr>
              <w:t xml:space="preserve">Estudiar los conceptos y el funcionamiento de MPLS con la </w:t>
            </w:r>
            <w:r>
              <w:rPr>
                <w:rFonts w:ascii="Century Gothic" w:hAnsi="Century Gothic" w:cs="Calibri"/>
                <w:color w:val="000000"/>
              </w:rPr>
              <w:br/>
              <w:t>documentación de Huawei.</w:t>
            </w:r>
          </w:p>
        </w:tc>
      </w:tr>
      <w:tr w:rsidR="00097609" w14:paraId="1811A4FB" w14:textId="77777777" w:rsidTr="000854A6">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C9F67BB"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7A5B351D" w14:textId="7549B6E3" w:rsidR="00097609" w:rsidRDefault="00097609">
            <w:pPr>
              <w:rPr>
                <w:rFonts w:ascii="Century Gothic" w:hAnsi="Century Gothic" w:cs="Calibri"/>
                <w:color w:val="000000"/>
              </w:rPr>
            </w:pPr>
            <w:r>
              <w:rPr>
                <w:rFonts w:ascii="Century Gothic" w:hAnsi="Century Gothic" w:cs="Calibri"/>
                <w:color w:val="000000"/>
              </w:rPr>
              <w:t xml:space="preserve">Estudiar conceptos </w:t>
            </w:r>
            <w:r w:rsidR="00453317">
              <w:rPr>
                <w:rFonts w:ascii="Century Gothic" w:hAnsi="Century Gothic" w:cs="Calibri"/>
                <w:color w:val="000000"/>
              </w:rPr>
              <w:t>básicos</w:t>
            </w:r>
            <w:r>
              <w:rPr>
                <w:rFonts w:ascii="Century Gothic" w:hAnsi="Century Gothic" w:cs="Calibri"/>
                <w:color w:val="000000"/>
              </w:rPr>
              <w:t xml:space="preserve"> de redes como </w:t>
            </w:r>
            <w:proofErr w:type="spellStart"/>
            <w:r>
              <w:rPr>
                <w:rFonts w:ascii="Century Gothic" w:hAnsi="Century Gothic" w:cs="Calibri"/>
                <w:color w:val="000000"/>
              </w:rPr>
              <w:t>Switching</w:t>
            </w:r>
            <w:proofErr w:type="spellEnd"/>
            <w:r>
              <w:rPr>
                <w:rFonts w:ascii="Century Gothic" w:hAnsi="Century Gothic" w:cs="Calibri"/>
                <w:color w:val="000000"/>
              </w:rPr>
              <w:t xml:space="preserve">, enrutamiento, </w:t>
            </w:r>
            <w:proofErr w:type="spellStart"/>
            <w:r>
              <w:rPr>
                <w:rFonts w:ascii="Century Gothic" w:hAnsi="Century Gothic" w:cs="Calibri"/>
                <w:color w:val="000000"/>
              </w:rPr>
              <w:t>subnetting</w:t>
            </w:r>
            <w:proofErr w:type="spellEnd"/>
            <w:r>
              <w:rPr>
                <w:rFonts w:ascii="Century Gothic" w:hAnsi="Century Gothic" w:cs="Calibri"/>
                <w:color w:val="000000"/>
              </w:rPr>
              <w:t>, entre otros.</w:t>
            </w:r>
          </w:p>
        </w:tc>
      </w:tr>
      <w:tr w:rsidR="00097609" w14:paraId="7E654C98" w14:textId="77777777" w:rsidTr="000854A6">
        <w:trPr>
          <w:trHeight w:val="103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77F2E601"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C6EB6BD" w14:textId="77777777" w:rsidR="00097609" w:rsidRDefault="00097609">
            <w:pPr>
              <w:rPr>
                <w:rFonts w:ascii="Century Gothic" w:hAnsi="Century Gothic" w:cs="Calibri"/>
                <w:color w:val="000000"/>
              </w:rPr>
            </w:pPr>
            <w:r>
              <w:rPr>
                <w:rFonts w:ascii="Century Gothic" w:hAnsi="Century Gothic" w:cs="Calibri"/>
                <w:color w:val="000000"/>
              </w:rPr>
              <w:t>Crear sesiones remotas con los nodos de la topología para conocer la configuración de los servicios IPNG y Carrier Ethernet.</w:t>
            </w:r>
          </w:p>
        </w:tc>
      </w:tr>
    </w:tbl>
    <w:p w14:paraId="4213B190" w14:textId="77777777" w:rsidR="00453317" w:rsidRPr="00733773" w:rsidRDefault="00EE3D45" w:rsidP="00097609">
      <w:pPr>
        <w:spacing w:before="240" w:line="320" w:lineRule="exact"/>
        <w:jc w:val="both"/>
        <w:rPr>
          <w:rFonts w:ascii="Century Gothic" w:hAnsi="Century Gothic" w:cs="Arial"/>
          <w:sz w:val="22"/>
          <w:szCs w:val="22"/>
        </w:rPr>
      </w:pPr>
      <w:r w:rsidRPr="00733773">
        <w:rPr>
          <w:rFonts w:ascii="Century Gothic" w:hAnsi="Century Gothic" w:cs="Arial"/>
          <w:sz w:val="22"/>
          <w:szCs w:val="22"/>
        </w:rPr>
        <w:t xml:space="preserve"> </w:t>
      </w:r>
    </w:p>
    <w:tbl>
      <w:tblPr>
        <w:tblW w:w="8480" w:type="dxa"/>
        <w:tblCellMar>
          <w:left w:w="70" w:type="dxa"/>
          <w:right w:w="70" w:type="dxa"/>
        </w:tblCellMar>
        <w:tblLook w:val="04A0" w:firstRow="1" w:lastRow="0" w:firstColumn="1" w:lastColumn="0" w:noHBand="0" w:noVBand="1"/>
      </w:tblPr>
      <w:tblGrid>
        <w:gridCol w:w="1300"/>
        <w:gridCol w:w="7180"/>
      </w:tblGrid>
      <w:tr w:rsidR="00453317" w14:paraId="57D9A1EE" w14:textId="77777777" w:rsidTr="00453317">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FBADB" w14:textId="77777777" w:rsidR="00453317" w:rsidRDefault="00453317">
            <w:pPr>
              <w:jc w:val="center"/>
              <w:rPr>
                <w:rFonts w:ascii="Century Gothic" w:hAnsi="Century Gothic" w:cs="Calibri"/>
                <w:b/>
                <w:bCs/>
                <w:color w:val="000000"/>
                <w:lang w:val="es-CO" w:eastAsia="es-CO"/>
              </w:rPr>
            </w:pPr>
            <w:r>
              <w:rPr>
                <w:rFonts w:ascii="Century Gothic" w:hAnsi="Century Gothic" w:cs="Calibri"/>
                <w:b/>
                <w:bCs/>
                <w:color w:val="000000"/>
              </w:rPr>
              <w:t>Objetivo 2</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0D00195C" w14:textId="77777777" w:rsidR="00453317" w:rsidRDefault="00453317">
            <w:pPr>
              <w:rPr>
                <w:rFonts w:ascii="Century Gothic" w:hAnsi="Century Gothic" w:cs="Calibri"/>
                <w:color w:val="000000"/>
              </w:rPr>
            </w:pPr>
            <w:r>
              <w:rPr>
                <w:rFonts w:ascii="Century Gothic" w:hAnsi="Century Gothic" w:cs="Calibri"/>
                <w:color w:val="000000"/>
              </w:rPr>
              <w:t>Leer detenidamente la primera versión del código para</w:t>
            </w:r>
            <w:r>
              <w:rPr>
                <w:rFonts w:ascii="Century Gothic" w:hAnsi="Century Gothic" w:cs="Calibri"/>
                <w:color w:val="000000"/>
              </w:rPr>
              <w:br/>
              <w:t>entender la lógica de su funcionamiento.</w:t>
            </w:r>
          </w:p>
        </w:tc>
      </w:tr>
      <w:tr w:rsidR="00453317" w14:paraId="51C5D07C" w14:textId="77777777" w:rsidTr="00453317">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53261A8D"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77D56D0F" w14:textId="77777777" w:rsidR="00453317" w:rsidRDefault="00453317">
            <w:pPr>
              <w:rPr>
                <w:rFonts w:ascii="Century Gothic" w:hAnsi="Century Gothic" w:cs="Calibri"/>
                <w:color w:val="000000"/>
              </w:rPr>
            </w:pPr>
            <w:r>
              <w:rPr>
                <w:rFonts w:ascii="Century Gothic" w:hAnsi="Century Gothic" w:cs="Calibri"/>
                <w:color w:val="000000"/>
              </w:rPr>
              <w:t xml:space="preserve">Saber diferenciar entre un servicio punto a punto de uno </w:t>
            </w:r>
            <w:r>
              <w:rPr>
                <w:rFonts w:ascii="Century Gothic" w:hAnsi="Century Gothic" w:cs="Calibri"/>
                <w:color w:val="000000"/>
              </w:rPr>
              <w:br/>
              <w:t>multipunto en la configuración de los equipos.</w:t>
            </w:r>
          </w:p>
        </w:tc>
      </w:tr>
      <w:tr w:rsidR="00453317" w14:paraId="5B009C8A" w14:textId="77777777" w:rsidTr="00453317">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CDBFE96"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0EC29CA8" w14:textId="47A8CDA2" w:rsidR="00453317" w:rsidRDefault="00453317">
            <w:pPr>
              <w:rPr>
                <w:rFonts w:ascii="Century Gothic" w:hAnsi="Century Gothic" w:cs="Calibri"/>
                <w:color w:val="000000"/>
              </w:rPr>
            </w:pPr>
            <w:r>
              <w:rPr>
                <w:rFonts w:ascii="Century Gothic" w:hAnsi="Century Gothic" w:cs="Calibri"/>
                <w:color w:val="000000"/>
              </w:rPr>
              <w:t>Aprender comandos básicos para configuración de equipos</w:t>
            </w:r>
            <w:r>
              <w:rPr>
                <w:rFonts w:ascii="Century Gothic" w:hAnsi="Century Gothic" w:cs="Calibri"/>
                <w:color w:val="000000"/>
              </w:rPr>
              <w:t xml:space="preserve"> </w:t>
            </w:r>
            <w:r>
              <w:rPr>
                <w:rFonts w:ascii="Century Gothic" w:hAnsi="Century Gothic" w:cs="Calibri"/>
                <w:color w:val="000000"/>
              </w:rPr>
              <w:t>Huawei.</w:t>
            </w:r>
          </w:p>
        </w:tc>
      </w:tr>
      <w:tr w:rsidR="00453317" w14:paraId="33E69588" w14:textId="77777777" w:rsidTr="00453317">
        <w:trPr>
          <w:trHeight w:val="7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41824D39"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ED95D8C" w14:textId="4E725F9D" w:rsidR="00453317" w:rsidRDefault="00453317">
            <w:pPr>
              <w:rPr>
                <w:rFonts w:ascii="Century Gothic" w:hAnsi="Century Gothic" w:cs="Calibri"/>
                <w:color w:val="000000"/>
              </w:rPr>
            </w:pPr>
            <w:r>
              <w:rPr>
                <w:rFonts w:ascii="Century Gothic" w:hAnsi="Century Gothic" w:cs="Calibri"/>
                <w:color w:val="000000"/>
              </w:rPr>
              <w:t>Conocer el funcionamiento de los diferentes tipos de enlaces</w:t>
            </w:r>
            <w:r>
              <w:rPr>
                <w:rFonts w:ascii="Century Gothic" w:hAnsi="Century Gothic" w:cs="Calibri"/>
                <w:color w:val="000000"/>
              </w:rPr>
              <w:t xml:space="preserve"> </w:t>
            </w:r>
            <w:r>
              <w:rPr>
                <w:rFonts w:ascii="Century Gothic" w:hAnsi="Century Gothic" w:cs="Calibri"/>
                <w:color w:val="000000"/>
              </w:rPr>
              <w:t>ofrecidos por la compañía a sus clientes.</w:t>
            </w:r>
          </w:p>
        </w:tc>
      </w:tr>
    </w:tbl>
    <w:p w14:paraId="2AB7CF84" w14:textId="68A0BED6" w:rsidR="000C098A" w:rsidRDefault="000C098A" w:rsidP="00097609">
      <w:pPr>
        <w:spacing w:before="240" w:line="320" w:lineRule="exact"/>
        <w:jc w:val="both"/>
        <w:rPr>
          <w:rFonts w:ascii="Century Gothic" w:hAnsi="Century Gothic" w:cs="Arial"/>
          <w:sz w:val="22"/>
          <w:szCs w:val="22"/>
        </w:rPr>
      </w:pPr>
    </w:p>
    <w:tbl>
      <w:tblPr>
        <w:tblW w:w="8480" w:type="dxa"/>
        <w:tblCellMar>
          <w:left w:w="70" w:type="dxa"/>
          <w:right w:w="70" w:type="dxa"/>
        </w:tblCellMar>
        <w:tblLook w:val="04A0" w:firstRow="1" w:lastRow="0" w:firstColumn="1" w:lastColumn="0" w:noHBand="0" w:noVBand="1"/>
      </w:tblPr>
      <w:tblGrid>
        <w:gridCol w:w="1300"/>
        <w:gridCol w:w="7180"/>
      </w:tblGrid>
      <w:tr w:rsidR="000C098A" w14:paraId="09F852FE" w14:textId="77777777" w:rsidTr="000C098A">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65278" w14:textId="77777777" w:rsidR="000C098A" w:rsidRDefault="000C098A">
            <w:pPr>
              <w:jc w:val="center"/>
              <w:rPr>
                <w:rFonts w:ascii="Century Gothic" w:hAnsi="Century Gothic" w:cs="Calibri"/>
                <w:b/>
                <w:bCs/>
                <w:color w:val="000000"/>
                <w:lang w:val="es-CO" w:eastAsia="es-CO"/>
              </w:rPr>
            </w:pPr>
            <w:r>
              <w:rPr>
                <w:rFonts w:ascii="Century Gothic" w:hAnsi="Century Gothic" w:cs="Calibri"/>
                <w:b/>
                <w:bCs/>
                <w:color w:val="000000"/>
              </w:rPr>
              <w:t>Objetivo 3</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2A86A1C2" w14:textId="77777777" w:rsidR="000C098A" w:rsidRDefault="000C098A">
            <w:pPr>
              <w:rPr>
                <w:rFonts w:ascii="Century Gothic" w:hAnsi="Century Gothic" w:cs="Calibri"/>
                <w:color w:val="000000"/>
              </w:rPr>
            </w:pPr>
            <w:r>
              <w:rPr>
                <w:rFonts w:ascii="Century Gothic" w:hAnsi="Century Gothic" w:cs="Calibri"/>
                <w:color w:val="000000"/>
              </w:rPr>
              <w:t xml:space="preserve">Realizar las modificaciones en el código para que la </w:t>
            </w:r>
            <w:r>
              <w:rPr>
                <w:rFonts w:ascii="Century Gothic" w:hAnsi="Century Gothic" w:cs="Calibri"/>
                <w:color w:val="000000"/>
              </w:rPr>
              <w:br/>
              <w:t>configuración resultante sea como lo requiere la empresa.</w:t>
            </w:r>
          </w:p>
        </w:tc>
      </w:tr>
      <w:tr w:rsidR="000C098A" w14:paraId="5D3C35C2" w14:textId="77777777" w:rsidTr="000C098A">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69480A4"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5A17C70D" w14:textId="58C84830" w:rsidR="000C098A" w:rsidRDefault="000C098A">
            <w:pPr>
              <w:rPr>
                <w:rFonts w:ascii="Century Gothic" w:hAnsi="Century Gothic" w:cs="Calibri"/>
                <w:color w:val="000000"/>
              </w:rPr>
            </w:pPr>
            <w:r>
              <w:rPr>
                <w:rFonts w:ascii="Century Gothic" w:hAnsi="Century Gothic" w:cs="Calibri"/>
                <w:color w:val="000000"/>
              </w:rPr>
              <w:t>Agregar modificaciones que aporten a las buenas prácticas</w:t>
            </w:r>
            <w:r>
              <w:rPr>
                <w:rFonts w:ascii="Century Gothic" w:hAnsi="Century Gothic" w:cs="Calibri"/>
                <w:color w:val="000000"/>
              </w:rPr>
              <w:t xml:space="preserve"> </w:t>
            </w:r>
            <w:r>
              <w:rPr>
                <w:rFonts w:ascii="Century Gothic" w:hAnsi="Century Gothic" w:cs="Calibri"/>
                <w:color w:val="000000"/>
              </w:rPr>
              <w:t>de seguridad.</w:t>
            </w:r>
          </w:p>
        </w:tc>
      </w:tr>
      <w:tr w:rsidR="000C098A" w14:paraId="77947320" w14:textId="77777777" w:rsidTr="000C098A">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69E72CDD"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64B10EDF" w14:textId="34AC4500" w:rsidR="000C098A" w:rsidRDefault="000C098A">
            <w:pPr>
              <w:rPr>
                <w:rFonts w:ascii="Century Gothic" w:hAnsi="Century Gothic" w:cs="Calibri"/>
                <w:color w:val="000000"/>
              </w:rPr>
            </w:pPr>
            <w:r>
              <w:rPr>
                <w:rFonts w:ascii="Century Gothic" w:hAnsi="Century Gothic" w:cs="Calibri"/>
                <w:color w:val="000000"/>
              </w:rPr>
              <w:t>Mostrar los cambios realizados a los configuradores para que</w:t>
            </w:r>
            <w:r>
              <w:rPr>
                <w:rFonts w:ascii="Century Gothic" w:hAnsi="Century Gothic" w:cs="Calibri"/>
                <w:color w:val="000000"/>
              </w:rPr>
              <w:t xml:space="preserve"> </w:t>
            </w:r>
            <w:r>
              <w:rPr>
                <w:rFonts w:ascii="Century Gothic" w:hAnsi="Century Gothic" w:cs="Calibri"/>
                <w:color w:val="000000"/>
              </w:rPr>
              <w:t>den una aprobación o hagan una retroalimentación.</w:t>
            </w:r>
          </w:p>
        </w:tc>
      </w:tr>
      <w:tr w:rsidR="000C098A" w14:paraId="5956934B" w14:textId="77777777" w:rsidTr="000C098A">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51184F8"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5C26D8C3" w14:textId="77777777" w:rsidR="000C098A" w:rsidRDefault="000C098A">
            <w:pPr>
              <w:rPr>
                <w:rFonts w:ascii="Century Gothic" w:hAnsi="Century Gothic" w:cs="Calibri"/>
                <w:color w:val="000000"/>
              </w:rPr>
            </w:pPr>
            <w:r>
              <w:rPr>
                <w:rFonts w:ascii="Century Gothic" w:hAnsi="Century Gothic" w:cs="Calibri"/>
                <w:color w:val="000000"/>
              </w:rPr>
              <w:t xml:space="preserve">Estar atento a cualquier requerimiento adicional que surja </w:t>
            </w:r>
            <w:r>
              <w:rPr>
                <w:rFonts w:ascii="Century Gothic" w:hAnsi="Century Gothic" w:cs="Calibri"/>
                <w:color w:val="000000"/>
              </w:rPr>
              <w:br/>
              <w:t>por parte de la empresa.</w:t>
            </w:r>
          </w:p>
        </w:tc>
      </w:tr>
    </w:tbl>
    <w:p w14:paraId="79C6074F" w14:textId="6B3CB2D3" w:rsidR="000C098A" w:rsidRDefault="000C098A" w:rsidP="00097609">
      <w:pPr>
        <w:spacing w:before="240" w:line="320" w:lineRule="exact"/>
        <w:jc w:val="both"/>
        <w:rPr>
          <w:rFonts w:ascii="Century Gothic" w:hAnsi="Century Gothic" w:cs="Arial"/>
          <w:sz w:val="22"/>
          <w:szCs w:val="22"/>
        </w:rPr>
      </w:pPr>
    </w:p>
    <w:tbl>
      <w:tblPr>
        <w:tblW w:w="8480" w:type="dxa"/>
        <w:tblCellMar>
          <w:left w:w="70" w:type="dxa"/>
          <w:right w:w="70" w:type="dxa"/>
        </w:tblCellMar>
        <w:tblLook w:val="04A0" w:firstRow="1" w:lastRow="0" w:firstColumn="1" w:lastColumn="0" w:noHBand="0" w:noVBand="1"/>
      </w:tblPr>
      <w:tblGrid>
        <w:gridCol w:w="1300"/>
        <w:gridCol w:w="7180"/>
      </w:tblGrid>
      <w:tr w:rsidR="000C098A" w14:paraId="6F1B5EA2" w14:textId="77777777" w:rsidTr="000C098A">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3C25B" w14:textId="77777777" w:rsidR="000C098A" w:rsidRDefault="000C098A">
            <w:pPr>
              <w:jc w:val="center"/>
              <w:rPr>
                <w:rFonts w:ascii="Century Gothic" w:hAnsi="Century Gothic" w:cs="Calibri"/>
                <w:b/>
                <w:bCs/>
                <w:color w:val="000000"/>
                <w:lang w:val="es-CO" w:eastAsia="es-CO"/>
              </w:rPr>
            </w:pPr>
            <w:r>
              <w:rPr>
                <w:rFonts w:ascii="Century Gothic" w:hAnsi="Century Gothic" w:cs="Calibri"/>
                <w:b/>
                <w:bCs/>
                <w:color w:val="000000"/>
              </w:rPr>
              <w:t>Objetivo 4</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5603E956" w14:textId="77777777" w:rsidR="000C098A" w:rsidRDefault="000C098A">
            <w:pPr>
              <w:rPr>
                <w:rFonts w:ascii="Century Gothic" w:hAnsi="Century Gothic" w:cs="Calibri"/>
                <w:color w:val="000000"/>
              </w:rPr>
            </w:pPr>
            <w:r>
              <w:rPr>
                <w:rFonts w:ascii="Century Gothic" w:hAnsi="Century Gothic" w:cs="Calibri"/>
                <w:color w:val="000000"/>
              </w:rPr>
              <w:t xml:space="preserve">Realizar pruebas del funcionamiento del programa en un </w:t>
            </w:r>
            <w:r>
              <w:rPr>
                <w:rFonts w:ascii="Century Gothic" w:hAnsi="Century Gothic" w:cs="Calibri"/>
                <w:color w:val="000000"/>
              </w:rPr>
              <w:br/>
              <w:t>entorno controlado por el personal de configuración.</w:t>
            </w:r>
          </w:p>
        </w:tc>
      </w:tr>
      <w:tr w:rsidR="000C098A" w14:paraId="21EF24AF" w14:textId="77777777" w:rsidTr="000C098A">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080A5741"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0FC20965" w14:textId="585F2531" w:rsidR="000C098A" w:rsidRDefault="000C098A">
            <w:pPr>
              <w:rPr>
                <w:rFonts w:ascii="Century Gothic" w:hAnsi="Century Gothic" w:cs="Calibri"/>
                <w:color w:val="000000"/>
              </w:rPr>
            </w:pPr>
            <w:r>
              <w:rPr>
                <w:rFonts w:ascii="Century Gothic" w:hAnsi="Century Gothic" w:cs="Calibri"/>
                <w:color w:val="000000"/>
              </w:rPr>
              <w:t>Tomar los datos del tiempo de configuración que requiere una</w:t>
            </w:r>
            <w:r>
              <w:rPr>
                <w:rFonts w:ascii="Century Gothic" w:hAnsi="Century Gothic" w:cs="Calibri"/>
                <w:color w:val="000000"/>
              </w:rPr>
              <w:t xml:space="preserve"> </w:t>
            </w:r>
            <w:r>
              <w:rPr>
                <w:rFonts w:ascii="Century Gothic" w:hAnsi="Century Gothic" w:cs="Calibri"/>
                <w:color w:val="000000"/>
              </w:rPr>
              <w:t>configuración manual con respecto al automático.</w:t>
            </w:r>
          </w:p>
        </w:tc>
      </w:tr>
    </w:tbl>
    <w:p w14:paraId="3921B836" w14:textId="77777777" w:rsidR="00EE3D45" w:rsidRPr="00733773" w:rsidRDefault="00EE3D45" w:rsidP="00033459">
      <w:pPr>
        <w:spacing w:line="320" w:lineRule="exact"/>
        <w:jc w:val="both"/>
        <w:rPr>
          <w:rFonts w:ascii="Century Gothic" w:hAnsi="Century Gothic" w:cs="Arial"/>
          <w:b/>
          <w:sz w:val="22"/>
          <w:szCs w:val="22"/>
        </w:rPr>
      </w:pPr>
    </w:p>
    <w:p w14:paraId="5DA4BD04"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Cronograma de Actividades</w:t>
      </w:r>
    </w:p>
    <w:p w14:paraId="13F434A6"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Se escriben</w:t>
      </w:r>
      <w:r w:rsidR="00EE3D45" w:rsidRPr="00733773">
        <w:rPr>
          <w:rFonts w:ascii="Century Gothic" w:hAnsi="Century Gothic" w:cs="Arial"/>
          <w:sz w:val="22"/>
          <w:szCs w:val="22"/>
        </w:rPr>
        <w:t xml:space="preserve"> las di</w:t>
      </w:r>
      <w:r w:rsidR="00731ADF">
        <w:rPr>
          <w:rFonts w:ascii="Century Gothic" w:hAnsi="Century Gothic" w:cs="Arial"/>
          <w:sz w:val="22"/>
          <w:szCs w:val="22"/>
        </w:rPr>
        <w:t>ferentes actividades a realizar</w:t>
      </w:r>
      <w:r w:rsidR="00EE3D45" w:rsidRPr="00733773">
        <w:rPr>
          <w:rFonts w:ascii="Century Gothic" w:hAnsi="Century Gothic" w:cs="Arial"/>
          <w:sz w:val="22"/>
          <w:szCs w:val="22"/>
        </w:rPr>
        <w:t xml:space="preserve"> según la metodología</w:t>
      </w:r>
      <w:r w:rsidRPr="00733773">
        <w:rPr>
          <w:rFonts w:ascii="Century Gothic" w:hAnsi="Century Gothic" w:cs="Arial"/>
          <w:sz w:val="22"/>
          <w:szCs w:val="22"/>
        </w:rPr>
        <w:t xml:space="preserve">, </w:t>
      </w:r>
      <w:r w:rsidR="00EE3D45" w:rsidRPr="00733773">
        <w:rPr>
          <w:rFonts w:ascii="Century Gothic" w:hAnsi="Century Gothic" w:cs="Arial"/>
          <w:sz w:val="22"/>
          <w:szCs w:val="22"/>
        </w:rPr>
        <w:t xml:space="preserve">indicando el tiempo programado para su ejecución. </w:t>
      </w:r>
    </w:p>
    <w:p w14:paraId="1A9470E4" w14:textId="77777777" w:rsidR="00EE3D45" w:rsidRPr="00733773" w:rsidRDefault="00EE3D45" w:rsidP="00033459">
      <w:pPr>
        <w:spacing w:line="320" w:lineRule="exact"/>
        <w:jc w:val="both"/>
        <w:rPr>
          <w:rFonts w:ascii="Century Gothic" w:hAnsi="Century Gothic" w:cs="Arial"/>
          <w:b/>
          <w:sz w:val="22"/>
          <w:szCs w:val="22"/>
        </w:rPr>
      </w:pPr>
    </w:p>
    <w:p w14:paraId="4BBB913A"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lastRenderedPageBreak/>
        <w:t>Resultados Esperados</w:t>
      </w:r>
    </w:p>
    <w:p w14:paraId="75BF32F6"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w:t>
      </w:r>
      <w:r w:rsidR="00674C7A" w:rsidRPr="00733773">
        <w:rPr>
          <w:rFonts w:ascii="Century Gothic" w:hAnsi="Century Gothic" w:cs="Arial"/>
          <w:sz w:val="22"/>
          <w:szCs w:val="22"/>
        </w:rPr>
        <w:t>presenta</w:t>
      </w:r>
      <w:r w:rsidR="00EE3D45" w:rsidRPr="00733773">
        <w:rPr>
          <w:rFonts w:ascii="Century Gothic" w:hAnsi="Century Gothic" w:cs="Arial"/>
          <w:sz w:val="22"/>
          <w:szCs w:val="22"/>
        </w:rPr>
        <w:t xml:space="preserve"> lo que </w:t>
      </w:r>
      <w:r w:rsidRPr="00733773">
        <w:rPr>
          <w:rFonts w:ascii="Century Gothic" w:hAnsi="Century Gothic" w:cs="Arial"/>
          <w:sz w:val="22"/>
          <w:szCs w:val="22"/>
        </w:rPr>
        <w:t xml:space="preserve">se </w:t>
      </w:r>
      <w:r w:rsidR="00EE3D45" w:rsidRPr="00733773">
        <w:rPr>
          <w:rFonts w:ascii="Century Gothic" w:hAnsi="Century Gothic" w:cs="Arial"/>
          <w:sz w:val="22"/>
          <w:szCs w:val="22"/>
        </w:rPr>
        <w:t xml:space="preserve">espera alcanzar con la </w:t>
      </w:r>
      <w:r w:rsidRPr="00733773">
        <w:rPr>
          <w:rFonts w:ascii="Century Gothic" w:hAnsi="Century Gothic" w:cs="Arial"/>
          <w:sz w:val="22"/>
          <w:szCs w:val="22"/>
        </w:rPr>
        <w:t>realización</w:t>
      </w:r>
      <w:r w:rsidR="00EE3D45" w:rsidRPr="00733773">
        <w:rPr>
          <w:rFonts w:ascii="Century Gothic" w:hAnsi="Century Gothic" w:cs="Arial"/>
          <w:sz w:val="22"/>
          <w:szCs w:val="22"/>
        </w:rPr>
        <w:t xml:space="preserve"> del trabajo. </w:t>
      </w:r>
    </w:p>
    <w:p w14:paraId="4312FFDA" w14:textId="77777777" w:rsidR="002164BE" w:rsidRPr="00733773" w:rsidRDefault="002164BE" w:rsidP="00033459">
      <w:pPr>
        <w:spacing w:line="320" w:lineRule="exact"/>
        <w:jc w:val="both"/>
        <w:rPr>
          <w:rFonts w:ascii="Century Gothic" w:hAnsi="Century Gothic" w:cs="Arial"/>
          <w:b/>
          <w:sz w:val="22"/>
          <w:szCs w:val="22"/>
        </w:rPr>
      </w:pPr>
    </w:p>
    <w:p w14:paraId="4AEE2B08"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Presupuesto</w:t>
      </w:r>
    </w:p>
    <w:p w14:paraId="2DF5ADC5"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w:t>
      </w:r>
      <w:r w:rsidR="00674C7A" w:rsidRPr="00733773">
        <w:rPr>
          <w:rFonts w:ascii="Century Gothic" w:hAnsi="Century Gothic" w:cs="Arial"/>
          <w:sz w:val="22"/>
          <w:szCs w:val="22"/>
        </w:rPr>
        <w:t>escriben</w:t>
      </w:r>
      <w:r w:rsidRPr="00733773">
        <w:rPr>
          <w:rFonts w:ascii="Century Gothic" w:hAnsi="Century Gothic" w:cs="Arial"/>
          <w:sz w:val="22"/>
          <w:szCs w:val="22"/>
        </w:rPr>
        <w:t xml:space="preserve"> lo</w:t>
      </w:r>
      <w:r w:rsidR="00EE3D45" w:rsidRPr="00733773">
        <w:rPr>
          <w:rFonts w:ascii="Century Gothic" w:hAnsi="Century Gothic" w:cs="Arial"/>
          <w:sz w:val="22"/>
          <w:szCs w:val="22"/>
        </w:rPr>
        <w:t xml:space="preserve">s recursos necesarios para la realización del </w:t>
      </w:r>
      <w:r w:rsidR="008D250F" w:rsidRPr="00733773">
        <w:rPr>
          <w:rFonts w:ascii="Century Gothic" w:hAnsi="Century Gothic" w:cs="Arial"/>
          <w:sz w:val="22"/>
          <w:szCs w:val="22"/>
        </w:rPr>
        <w:t>proyecto (</w:t>
      </w:r>
      <w:r w:rsidR="00EE3D45" w:rsidRPr="00733773">
        <w:rPr>
          <w:rFonts w:ascii="Century Gothic" w:hAnsi="Century Gothic" w:cs="Arial"/>
          <w:sz w:val="22"/>
          <w:szCs w:val="22"/>
        </w:rPr>
        <w:t>gastos en personal, gastos en equipos o análisis, gastos en materiales o insumos)</w:t>
      </w:r>
      <w:r w:rsidRPr="00733773">
        <w:rPr>
          <w:rFonts w:ascii="Century Gothic" w:hAnsi="Century Gothic" w:cs="Arial"/>
          <w:sz w:val="22"/>
          <w:szCs w:val="22"/>
        </w:rPr>
        <w:t>.</w:t>
      </w:r>
    </w:p>
    <w:p w14:paraId="45182C91" w14:textId="33F02245" w:rsidR="00EE3D45" w:rsidRPr="00733773" w:rsidRDefault="00CD3D7F" w:rsidP="00CD3D7F">
      <w:pPr>
        <w:tabs>
          <w:tab w:val="left" w:pos="5100"/>
        </w:tabs>
        <w:spacing w:line="320" w:lineRule="exact"/>
        <w:jc w:val="both"/>
        <w:rPr>
          <w:rFonts w:ascii="Century Gothic" w:hAnsi="Century Gothic" w:cs="Arial"/>
          <w:b/>
          <w:sz w:val="22"/>
          <w:szCs w:val="22"/>
        </w:rPr>
      </w:pPr>
      <w:r>
        <w:rPr>
          <w:rFonts w:ascii="Century Gothic" w:hAnsi="Century Gothic" w:cs="Arial"/>
          <w:b/>
          <w:sz w:val="22"/>
          <w:szCs w:val="22"/>
        </w:rPr>
        <w:tab/>
      </w:r>
    </w:p>
    <w:p w14:paraId="5387DD07" w14:textId="03EC21EB" w:rsidR="00F2165B" w:rsidRPr="00F2165B" w:rsidRDefault="006A2364" w:rsidP="00F2165B">
      <w:pPr>
        <w:spacing w:line="320" w:lineRule="exact"/>
        <w:jc w:val="both"/>
        <w:rPr>
          <w:rFonts w:ascii="Century Gothic" w:hAnsi="Century Gothic" w:cs="Arial"/>
          <w:b/>
          <w:sz w:val="22"/>
          <w:szCs w:val="22"/>
        </w:rPr>
      </w:pPr>
      <w:r w:rsidRPr="00733773">
        <w:rPr>
          <w:rFonts w:ascii="Century Gothic" w:hAnsi="Century Gothic" w:cs="Arial"/>
          <w:b/>
          <w:sz w:val="22"/>
          <w:szCs w:val="22"/>
        </w:rPr>
        <w:t>Referencias bibliográficas</w:t>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sdt>
      <w:sdtPr>
        <w:rPr>
          <w:rFonts w:ascii="Times New Roman" w:hAnsi="Times New Roman"/>
          <w:b w:val="0"/>
          <w:bCs w:val="0"/>
          <w:kern w:val="0"/>
          <w:sz w:val="24"/>
          <w:szCs w:val="24"/>
          <w:lang w:val="es-ES" w:eastAsia="es-ES"/>
        </w:rPr>
        <w:id w:val="1304423721"/>
        <w:docPartObj>
          <w:docPartGallery w:val="Bibliographies"/>
          <w:docPartUnique/>
        </w:docPartObj>
      </w:sdtPr>
      <w:sdtEndPr/>
      <w:sdtContent>
        <w:p w14:paraId="7EDCF4DD" w14:textId="13AB1F63" w:rsidR="00CD3D7F" w:rsidRPr="00CD3D7F" w:rsidRDefault="00CD3D7F">
          <w:pPr>
            <w:pStyle w:val="Ttulo1"/>
          </w:pPr>
          <w:r w:rsidRPr="00CD3D7F">
            <w:rPr>
              <w:lang w:val="es-ES"/>
            </w:rPr>
            <w:t>Referencias</w:t>
          </w:r>
        </w:p>
        <w:sdt>
          <w:sdtPr>
            <w:id w:val="-573587230"/>
            <w:bibliography/>
          </w:sdtPr>
          <w:sdtEndPr/>
          <w:sdtContent>
            <w:p w14:paraId="04B51F6B" w14:textId="77777777" w:rsidR="00CD3D7F" w:rsidRPr="00CD3D7F" w:rsidRDefault="00CD3D7F">
              <w:pPr>
                <w:rPr>
                  <w:noProof/>
                  <w:sz w:val="20"/>
                  <w:szCs w:val="20"/>
                  <w:lang w:val="en-US" w:eastAsia="en-US"/>
                </w:rPr>
              </w:pPr>
              <w:r w:rsidRPr="00CD3D7F">
                <w:fldChar w:fldCharType="begin"/>
              </w:r>
              <w:r w:rsidRPr="00CD3D7F">
                <w:instrText>BIBLIOGRAPHY</w:instrText>
              </w:r>
              <w:r w:rsidRPr="00CD3D7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CD3D7F" w:rsidRPr="00CD3D7F" w14:paraId="1FAB56E1" w14:textId="77777777">
                <w:trPr>
                  <w:divId w:val="535579766"/>
                  <w:tblCellSpacing w:w="15" w:type="dxa"/>
                </w:trPr>
                <w:tc>
                  <w:tcPr>
                    <w:tcW w:w="50" w:type="pct"/>
                    <w:hideMark/>
                  </w:tcPr>
                  <w:p w14:paraId="6903B318" w14:textId="3B3F4133" w:rsidR="00CD3D7F" w:rsidRPr="00CD3D7F" w:rsidRDefault="00CD3D7F">
                    <w:pPr>
                      <w:pStyle w:val="Bibliografa"/>
                      <w:rPr>
                        <w:noProof/>
                      </w:rPr>
                    </w:pPr>
                    <w:r w:rsidRPr="00CD3D7F">
                      <w:rPr>
                        <w:noProof/>
                      </w:rPr>
                      <w:t xml:space="preserve">[1] </w:t>
                    </w:r>
                  </w:p>
                </w:tc>
                <w:tc>
                  <w:tcPr>
                    <w:tcW w:w="0" w:type="auto"/>
                    <w:hideMark/>
                  </w:tcPr>
                  <w:p w14:paraId="4DFA8ACA" w14:textId="77777777" w:rsidR="00CD3D7F" w:rsidRPr="00CD3D7F" w:rsidRDefault="00CD3D7F">
                    <w:pPr>
                      <w:pStyle w:val="Bibliografa"/>
                      <w:rPr>
                        <w:noProof/>
                      </w:rPr>
                    </w:pPr>
                    <w:r w:rsidRPr="00CD3D7F">
                      <w:rPr>
                        <w:noProof/>
                      </w:rPr>
                      <w:t xml:space="preserve">T. Anttalainen, Introduction to Telecommunications Network Engineering, 2003. </w:t>
                    </w:r>
                  </w:p>
                </w:tc>
              </w:tr>
              <w:tr w:rsidR="00CD3D7F" w:rsidRPr="00CD3D7F" w14:paraId="669B9450" w14:textId="77777777">
                <w:trPr>
                  <w:divId w:val="535579766"/>
                  <w:tblCellSpacing w:w="15" w:type="dxa"/>
                </w:trPr>
                <w:tc>
                  <w:tcPr>
                    <w:tcW w:w="50" w:type="pct"/>
                    <w:hideMark/>
                  </w:tcPr>
                  <w:p w14:paraId="0B30B402" w14:textId="77777777" w:rsidR="00CD3D7F" w:rsidRPr="00CD3D7F" w:rsidRDefault="00CD3D7F">
                    <w:pPr>
                      <w:pStyle w:val="Bibliografa"/>
                      <w:rPr>
                        <w:noProof/>
                      </w:rPr>
                    </w:pPr>
                    <w:r w:rsidRPr="00CD3D7F">
                      <w:rPr>
                        <w:noProof/>
                      </w:rPr>
                      <w:t xml:space="preserve">[2] </w:t>
                    </w:r>
                  </w:p>
                </w:tc>
                <w:tc>
                  <w:tcPr>
                    <w:tcW w:w="0" w:type="auto"/>
                    <w:hideMark/>
                  </w:tcPr>
                  <w:p w14:paraId="66766207" w14:textId="77777777" w:rsidR="00CD3D7F" w:rsidRPr="00CD3D7F" w:rsidRDefault="00CD3D7F">
                    <w:pPr>
                      <w:pStyle w:val="Bibliografa"/>
                      <w:rPr>
                        <w:noProof/>
                      </w:rPr>
                    </w:pPr>
                    <w:r w:rsidRPr="00CD3D7F">
                      <w:rPr>
                        <w:noProof/>
                      </w:rPr>
                      <w:t xml:space="preserve">A. Tanenbaum, Redes de Computadoras, Naucalpan: Pearson Educación , 2012. </w:t>
                    </w:r>
                  </w:p>
                </w:tc>
              </w:tr>
              <w:tr w:rsidR="00CD3D7F" w:rsidRPr="00CD3D7F" w14:paraId="2994A387" w14:textId="77777777">
                <w:trPr>
                  <w:divId w:val="535579766"/>
                  <w:tblCellSpacing w:w="15" w:type="dxa"/>
                </w:trPr>
                <w:tc>
                  <w:tcPr>
                    <w:tcW w:w="50" w:type="pct"/>
                    <w:hideMark/>
                  </w:tcPr>
                  <w:p w14:paraId="79959EDF" w14:textId="77777777" w:rsidR="00CD3D7F" w:rsidRPr="00CD3D7F" w:rsidRDefault="00CD3D7F">
                    <w:pPr>
                      <w:pStyle w:val="Bibliografa"/>
                      <w:rPr>
                        <w:noProof/>
                      </w:rPr>
                    </w:pPr>
                    <w:r w:rsidRPr="00CD3D7F">
                      <w:rPr>
                        <w:noProof/>
                      </w:rPr>
                      <w:t xml:space="preserve">[3] </w:t>
                    </w:r>
                  </w:p>
                </w:tc>
                <w:tc>
                  <w:tcPr>
                    <w:tcW w:w="0" w:type="auto"/>
                    <w:hideMark/>
                  </w:tcPr>
                  <w:p w14:paraId="7BFCBABB" w14:textId="77777777" w:rsidR="00CD3D7F" w:rsidRPr="00CD3D7F" w:rsidRDefault="00CD3D7F">
                    <w:pPr>
                      <w:pStyle w:val="Bibliografa"/>
                      <w:rPr>
                        <w:noProof/>
                      </w:rPr>
                    </w:pPr>
                    <w:r w:rsidRPr="00CD3D7F">
                      <w:rPr>
                        <w:noProof/>
                      </w:rPr>
                      <w:t>D. M. Payares Benítez y M. Fandiño Nieto, «Conmutacion, Enrutamiento y tecnologías WAN,» Cartagena de Indias, 2004.</w:t>
                    </w:r>
                  </w:p>
                </w:tc>
              </w:tr>
              <w:tr w:rsidR="00CD3D7F" w:rsidRPr="00CD3D7F" w14:paraId="295E94FF" w14:textId="77777777">
                <w:trPr>
                  <w:divId w:val="535579766"/>
                  <w:tblCellSpacing w:w="15" w:type="dxa"/>
                </w:trPr>
                <w:tc>
                  <w:tcPr>
                    <w:tcW w:w="50" w:type="pct"/>
                    <w:hideMark/>
                  </w:tcPr>
                  <w:p w14:paraId="465234CE" w14:textId="77777777" w:rsidR="00CD3D7F" w:rsidRPr="00CD3D7F" w:rsidRDefault="00CD3D7F">
                    <w:pPr>
                      <w:pStyle w:val="Bibliografa"/>
                      <w:rPr>
                        <w:noProof/>
                      </w:rPr>
                    </w:pPr>
                    <w:r w:rsidRPr="00CD3D7F">
                      <w:rPr>
                        <w:noProof/>
                      </w:rPr>
                      <w:t xml:space="preserve">[4] </w:t>
                    </w:r>
                  </w:p>
                </w:tc>
                <w:tc>
                  <w:tcPr>
                    <w:tcW w:w="0" w:type="auto"/>
                    <w:hideMark/>
                  </w:tcPr>
                  <w:p w14:paraId="5AC0969B" w14:textId="77777777" w:rsidR="00CD3D7F" w:rsidRPr="00CD3D7F" w:rsidRDefault="00CD3D7F">
                    <w:pPr>
                      <w:pStyle w:val="Bibliografa"/>
                      <w:rPr>
                        <w:noProof/>
                      </w:rPr>
                    </w:pPr>
                    <w:r w:rsidRPr="00CD3D7F">
                      <w:rPr>
                        <w:noProof/>
                      </w:rPr>
                      <w:t>Defense Advanced Research Projects Agency, Septiembre 1981. [En línea]. Available: https://tools.ietf.org/html/rfc791#page-23.</w:t>
                    </w:r>
                  </w:p>
                </w:tc>
              </w:tr>
              <w:tr w:rsidR="00CD3D7F" w:rsidRPr="00CD3D7F" w14:paraId="41D9AE0C" w14:textId="77777777">
                <w:trPr>
                  <w:divId w:val="535579766"/>
                  <w:tblCellSpacing w:w="15" w:type="dxa"/>
                </w:trPr>
                <w:tc>
                  <w:tcPr>
                    <w:tcW w:w="50" w:type="pct"/>
                    <w:hideMark/>
                  </w:tcPr>
                  <w:p w14:paraId="2C86C890" w14:textId="77777777" w:rsidR="00CD3D7F" w:rsidRPr="00CD3D7F" w:rsidRDefault="00CD3D7F">
                    <w:pPr>
                      <w:pStyle w:val="Bibliografa"/>
                      <w:rPr>
                        <w:noProof/>
                      </w:rPr>
                    </w:pPr>
                    <w:r w:rsidRPr="00CD3D7F">
                      <w:rPr>
                        <w:noProof/>
                      </w:rPr>
                      <w:t xml:space="preserve">[5] </w:t>
                    </w:r>
                  </w:p>
                </w:tc>
                <w:tc>
                  <w:tcPr>
                    <w:tcW w:w="0" w:type="auto"/>
                    <w:hideMark/>
                  </w:tcPr>
                  <w:p w14:paraId="49C9128E" w14:textId="77777777" w:rsidR="00CD3D7F" w:rsidRPr="00CD3D7F" w:rsidRDefault="00CD3D7F">
                    <w:pPr>
                      <w:pStyle w:val="Bibliografa"/>
                      <w:rPr>
                        <w:noProof/>
                      </w:rPr>
                    </w:pPr>
                    <w:r w:rsidRPr="00CD3D7F">
                      <w:rPr>
                        <w:noProof/>
                      </w:rPr>
                      <w:t>E. Rosen, A. Viswanathan y R. Callon, Enero 2001. [En línea]. Available: https://tools.ietf.org/html/rfc3031#section-2.</w:t>
                    </w:r>
                  </w:p>
                </w:tc>
              </w:tr>
              <w:tr w:rsidR="00CD3D7F" w:rsidRPr="00CD3D7F" w14:paraId="07A0B3D4" w14:textId="77777777">
                <w:trPr>
                  <w:divId w:val="535579766"/>
                  <w:tblCellSpacing w:w="15" w:type="dxa"/>
                </w:trPr>
                <w:tc>
                  <w:tcPr>
                    <w:tcW w:w="50" w:type="pct"/>
                    <w:hideMark/>
                  </w:tcPr>
                  <w:p w14:paraId="56F6E1BE" w14:textId="77777777" w:rsidR="00CD3D7F" w:rsidRPr="00CD3D7F" w:rsidRDefault="00CD3D7F">
                    <w:pPr>
                      <w:pStyle w:val="Bibliografa"/>
                      <w:rPr>
                        <w:noProof/>
                      </w:rPr>
                    </w:pPr>
                    <w:r w:rsidRPr="00CD3D7F">
                      <w:rPr>
                        <w:noProof/>
                      </w:rPr>
                      <w:t xml:space="preserve">[6] </w:t>
                    </w:r>
                  </w:p>
                </w:tc>
                <w:tc>
                  <w:tcPr>
                    <w:tcW w:w="0" w:type="auto"/>
                    <w:hideMark/>
                  </w:tcPr>
                  <w:p w14:paraId="583F18A1" w14:textId="77777777" w:rsidR="00CD3D7F" w:rsidRPr="00CD3D7F" w:rsidRDefault="00CD3D7F">
                    <w:pPr>
                      <w:pStyle w:val="Bibliografa"/>
                      <w:rPr>
                        <w:noProof/>
                      </w:rPr>
                    </w:pPr>
                    <w:r w:rsidRPr="00CD3D7F">
                      <w:rPr>
                        <w:noProof/>
                      </w:rPr>
                      <w:t>Huawei, «Support Huawei,» 7 Diciembre 2020. [En línea]. Available: https://support.huawei.com/enterprise/en/doc/EDOC1000178173/953f01ce/overview-of-mpls.</w:t>
                    </w:r>
                  </w:p>
                </w:tc>
              </w:tr>
              <w:tr w:rsidR="00CD3D7F" w:rsidRPr="00CD3D7F" w14:paraId="34D49B4C" w14:textId="77777777">
                <w:trPr>
                  <w:divId w:val="535579766"/>
                  <w:tblCellSpacing w:w="15" w:type="dxa"/>
                </w:trPr>
                <w:tc>
                  <w:tcPr>
                    <w:tcW w:w="50" w:type="pct"/>
                    <w:hideMark/>
                  </w:tcPr>
                  <w:p w14:paraId="3B1F8F9A" w14:textId="77777777" w:rsidR="00CD3D7F" w:rsidRPr="00CD3D7F" w:rsidRDefault="00CD3D7F">
                    <w:pPr>
                      <w:pStyle w:val="Bibliografa"/>
                      <w:rPr>
                        <w:noProof/>
                      </w:rPr>
                    </w:pPr>
                    <w:r w:rsidRPr="00CD3D7F">
                      <w:rPr>
                        <w:noProof/>
                      </w:rPr>
                      <w:t xml:space="preserve">[7] </w:t>
                    </w:r>
                  </w:p>
                </w:tc>
                <w:tc>
                  <w:tcPr>
                    <w:tcW w:w="0" w:type="auto"/>
                    <w:hideMark/>
                  </w:tcPr>
                  <w:p w14:paraId="44D4DAA4" w14:textId="77777777" w:rsidR="00CD3D7F" w:rsidRPr="00CD3D7F" w:rsidRDefault="00CD3D7F">
                    <w:pPr>
                      <w:pStyle w:val="Bibliografa"/>
                      <w:rPr>
                        <w:noProof/>
                      </w:rPr>
                    </w:pPr>
                    <w:r w:rsidRPr="00CD3D7F">
                      <w:rPr>
                        <w:noProof/>
                      </w:rPr>
                      <w:t xml:space="preserve">J. Montoya y P. Camilo, </w:t>
                    </w:r>
                    <w:r w:rsidRPr="00CD3D7F">
                      <w:rPr>
                        <w:i/>
                        <w:iCs/>
                        <w:noProof/>
                      </w:rPr>
                      <w:t xml:space="preserve">Comunicación Personal, </w:t>
                    </w:r>
                    <w:r w:rsidRPr="00CD3D7F">
                      <w:rPr>
                        <w:noProof/>
                      </w:rPr>
                      <w:t xml:space="preserve">Medellín, 2021. </w:t>
                    </w:r>
                  </w:p>
                </w:tc>
              </w:tr>
              <w:tr w:rsidR="00CD3D7F" w:rsidRPr="00CD3D7F" w14:paraId="2EABB58A" w14:textId="77777777">
                <w:trPr>
                  <w:divId w:val="535579766"/>
                  <w:tblCellSpacing w:w="15" w:type="dxa"/>
                </w:trPr>
                <w:tc>
                  <w:tcPr>
                    <w:tcW w:w="50" w:type="pct"/>
                    <w:hideMark/>
                  </w:tcPr>
                  <w:p w14:paraId="5B5684A8" w14:textId="77777777" w:rsidR="00CD3D7F" w:rsidRPr="00CD3D7F" w:rsidRDefault="00CD3D7F">
                    <w:pPr>
                      <w:pStyle w:val="Bibliografa"/>
                      <w:rPr>
                        <w:noProof/>
                      </w:rPr>
                    </w:pPr>
                    <w:r w:rsidRPr="00CD3D7F">
                      <w:rPr>
                        <w:noProof/>
                      </w:rPr>
                      <w:t xml:space="preserve">[8] </w:t>
                    </w:r>
                  </w:p>
                </w:tc>
                <w:tc>
                  <w:tcPr>
                    <w:tcW w:w="0" w:type="auto"/>
                    <w:hideMark/>
                  </w:tcPr>
                  <w:p w14:paraId="212BF6E7" w14:textId="77777777" w:rsidR="00CD3D7F" w:rsidRPr="00CD3D7F" w:rsidRDefault="00CD3D7F">
                    <w:pPr>
                      <w:pStyle w:val="Bibliografa"/>
                      <w:rPr>
                        <w:noProof/>
                      </w:rPr>
                    </w:pPr>
                    <w:r w:rsidRPr="00CD3D7F">
                      <w:rPr>
                        <w:noProof/>
                      </w:rPr>
                      <w:t>L. F. E. Solarte, «Automatización de la configuración de los servicios Carrier Ethernet e IP Next Generation (CE/IPNG) en la topología de red MPLS Huawei de Internexa Colombia,» Medellin, 2020.</w:t>
                    </w:r>
                  </w:p>
                </w:tc>
              </w:tr>
            </w:tbl>
            <w:p w14:paraId="0C603CC3" w14:textId="77777777" w:rsidR="00CD3D7F" w:rsidRPr="00CD3D7F" w:rsidRDefault="00CD3D7F">
              <w:pPr>
                <w:divId w:val="535579766"/>
                <w:rPr>
                  <w:noProof/>
                </w:rPr>
              </w:pPr>
            </w:p>
            <w:p w14:paraId="7DAAB9CB" w14:textId="4137C5C6" w:rsidR="00CD3D7F" w:rsidRDefault="00CD3D7F">
              <w:r w:rsidRPr="00CD3D7F">
                <w:rPr>
                  <w:b/>
                  <w:bCs/>
                </w:rPr>
                <w:fldChar w:fldCharType="end"/>
              </w:r>
            </w:p>
          </w:sdtContent>
        </w:sdt>
      </w:sdtContent>
    </w:sdt>
    <w:p w14:paraId="317D68C4" w14:textId="7ECA6F77" w:rsidR="00F2165B" w:rsidRDefault="00F2165B">
      <w:pPr>
        <w:divId w:val="1143038564"/>
        <w:rPr>
          <w:noProof/>
          <w:lang w:val="en-US"/>
        </w:rPr>
      </w:pPr>
    </w:p>
    <w:p w14:paraId="372332C6" w14:textId="77777777" w:rsidR="009F7574" w:rsidRPr="00F2165B" w:rsidRDefault="009F7574">
      <w:pPr>
        <w:divId w:val="1143038564"/>
        <w:rPr>
          <w:noProof/>
          <w:lang w:val="en-US"/>
        </w:rPr>
      </w:pPr>
    </w:p>
    <w:p w14:paraId="4BB70167" w14:textId="6262FDC7" w:rsidR="00EF6B5A" w:rsidRPr="00F2165B" w:rsidRDefault="00F2165B" w:rsidP="00F2165B">
      <w:pPr>
        <w:spacing w:line="320" w:lineRule="exact"/>
        <w:jc w:val="both"/>
        <w:rPr>
          <w:rFonts w:ascii="Century Gothic" w:hAnsi="Century Gothic" w:cs="Arial"/>
          <w:bCs/>
          <w:sz w:val="22"/>
          <w:szCs w:val="22"/>
          <w:lang w:val="en-US"/>
        </w:rPr>
      </w:pPr>
      <w:r w:rsidRPr="00F2165B">
        <w:rPr>
          <w:rFonts w:ascii="Century Gothic" w:hAnsi="Century Gothic" w:cs="Arial"/>
          <w:bCs/>
          <w:sz w:val="22"/>
          <w:szCs w:val="22"/>
        </w:rPr>
        <w:fldChar w:fldCharType="end"/>
      </w:r>
    </w:p>
    <w:p w14:paraId="05A043CF" w14:textId="77777777" w:rsidR="00766E1A" w:rsidRPr="00733773" w:rsidRDefault="00207F50" w:rsidP="00BE5F11">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Citar y referenciar adecuadamente de acuerdo con la Norma Técnica Colombiana. </w:t>
      </w:r>
    </w:p>
    <w:p w14:paraId="70561597" w14:textId="77777777" w:rsidR="006D0EB9" w:rsidRPr="00733773" w:rsidRDefault="006D0EB9" w:rsidP="00BE5F11">
      <w:pPr>
        <w:spacing w:line="320" w:lineRule="exact"/>
        <w:jc w:val="both"/>
        <w:rPr>
          <w:rFonts w:ascii="Century Gothic" w:hAnsi="Century Gothic" w:cs="Arial"/>
          <w:b/>
          <w:sz w:val="22"/>
          <w:szCs w:val="22"/>
        </w:rPr>
      </w:pP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el contenido de la misma.</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77777777" w:rsidR="00731ADF" w:rsidRDefault="00731ADF" w:rsidP="00A777D1">
      <w:pPr>
        <w:spacing w:line="320" w:lineRule="exact"/>
        <w:jc w:val="both"/>
        <w:rPr>
          <w:rFonts w:ascii="Century Gothic" w:hAnsi="Century Gothic"/>
          <w:b/>
        </w:rPr>
      </w:pPr>
      <w:r>
        <w:rPr>
          <w:rFonts w:ascii="Century Gothic" w:hAnsi="Century Gothic"/>
          <w:b/>
        </w:rPr>
        <w:br w:type="page"/>
      </w:r>
    </w:p>
    <w:p w14:paraId="609C04B9" w14:textId="77777777" w:rsidR="001B6A3E" w:rsidRPr="009B582F" w:rsidRDefault="006E3241" w:rsidP="00A777D1">
      <w:pPr>
        <w:spacing w:line="320" w:lineRule="exact"/>
        <w:jc w:val="both"/>
        <w:rPr>
          <w:rFonts w:ascii="Century Gothic" w:hAnsi="Century Gothic"/>
        </w:rPr>
      </w:pPr>
      <w:r w:rsidRPr="009B582F">
        <w:rPr>
          <w:rFonts w:ascii="Century Gothic" w:hAnsi="Century Gothic"/>
          <w:b/>
        </w:rPr>
        <w:lastRenderedPageBreak/>
        <w:t>OBSERVACIONES</w:t>
      </w:r>
    </w:p>
    <w:p w14:paraId="5C6E1761" w14:textId="77777777" w:rsidR="00471229" w:rsidRPr="009B582F" w:rsidRDefault="00F13DB7" w:rsidP="00033459">
      <w:pPr>
        <w:pStyle w:val="Ttulo1"/>
        <w:numPr>
          <w:ilvl w:val="0"/>
          <w:numId w:val="10"/>
        </w:numPr>
        <w:spacing w:line="320" w:lineRule="exact"/>
        <w:jc w:val="both"/>
        <w:rPr>
          <w:rFonts w:ascii="Century Gothic" w:hAnsi="Century Gothic"/>
          <w:b w:val="0"/>
          <w:sz w:val="24"/>
          <w:szCs w:val="24"/>
        </w:rPr>
      </w:pPr>
      <w:r w:rsidRPr="009B582F">
        <w:rPr>
          <w:rFonts w:ascii="Century Gothic" w:hAnsi="Century Gothic"/>
          <w:b w:val="0"/>
          <w:noProof/>
          <w:sz w:val="24"/>
          <w:szCs w:val="24"/>
          <w:lang w:val="en-US" w:eastAsia="en-US"/>
        </w:rPr>
        <mc:AlternateContent>
          <mc:Choice Requires="wps">
            <w:drawing>
              <wp:anchor distT="0" distB="0" distL="114300" distR="114300" simplePos="0" relativeHeight="251653632" behindDoc="0" locked="0" layoutInCell="1" allowOverlap="1" wp14:anchorId="1BD6963B" wp14:editId="124E1E87">
                <wp:simplePos x="0" y="0"/>
                <wp:positionH relativeFrom="column">
                  <wp:posOffset>155575</wp:posOffset>
                </wp:positionH>
                <wp:positionV relativeFrom="paragraph">
                  <wp:posOffset>34925</wp:posOffset>
                </wp:positionV>
                <wp:extent cx="1346835" cy="0"/>
                <wp:effectExtent l="8255" t="13970" r="6985" b="508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83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81635" id="AutoShape 41" o:spid="_x0000_s1026" type="#_x0000_t32" style="position:absolute;margin-left:12.25pt;margin-top:2.75pt;width:106.0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" strokecolor="#c2d69b"/>
            </w:pict>
          </mc:Fallback>
        </mc:AlternateContent>
      </w:r>
      <w:r w:rsidR="001B6A3E" w:rsidRPr="009B582F">
        <w:rPr>
          <w:rFonts w:ascii="Century Gothic" w:hAnsi="Century Gothic"/>
          <w:b w:val="0"/>
          <w:sz w:val="24"/>
          <w:szCs w:val="24"/>
        </w:rPr>
        <w:t>La prop</w:t>
      </w:r>
      <w:r w:rsidR="00D154C0">
        <w:rPr>
          <w:rFonts w:ascii="Century Gothic" w:hAnsi="Century Gothic"/>
          <w:b w:val="0"/>
          <w:sz w:val="24"/>
          <w:szCs w:val="24"/>
        </w:rPr>
        <w:t xml:space="preserve">uesta debe entregarse máximo </w:t>
      </w:r>
      <w:r w:rsidR="003858C8">
        <w:rPr>
          <w:rFonts w:ascii="Century Gothic" w:hAnsi="Century Gothic"/>
          <w:b w:val="0"/>
          <w:sz w:val="24"/>
          <w:szCs w:val="24"/>
          <w:lang w:val="es-MX"/>
        </w:rPr>
        <w:t xml:space="preserve">45 días </w:t>
      </w:r>
      <w:r w:rsidR="00D154C0">
        <w:rPr>
          <w:rFonts w:ascii="Century Gothic" w:hAnsi="Century Gothic"/>
          <w:b w:val="0"/>
          <w:sz w:val="24"/>
          <w:szCs w:val="24"/>
          <w:lang w:val="es-MX"/>
        </w:rPr>
        <w:t xml:space="preserve">calendario </w:t>
      </w:r>
      <w:r w:rsidR="003858C8">
        <w:rPr>
          <w:rFonts w:ascii="Century Gothic" w:hAnsi="Century Gothic"/>
          <w:b w:val="0"/>
          <w:sz w:val="24"/>
          <w:szCs w:val="24"/>
          <w:lang w:val="es-MX"/>
        </w:rPr>
        <w:t xml:space="preserve">después </w:t>
      </w:r>
      <w:r w:rsidR="001B6A3E" w:rsidRPr="009B582F">
        <w:rPr>
          <w:rFonts w:ascii="Century Gothic" w:hAnsi="Century Gothic"/>
          <w:b w:val="0"/>
          <w:sz w:val="24"/>
          <w:szCs w:val="24"/>
        </w:rPr>
        <w:t xml:space="preserve">de </w:t>
      </w:r>
      <w:r w:rsidR="003858C8">
        <w:rPr>
          <w:rFonts w:ascii="Century Gothic" w:hAnsi="Century Gothic"/>
          <w:b w:val="0"/>
          <w:sz w:val="24"/>
          <w:szCs w:val="24"/>
          <w:lang w:val="es-MX"/>
        </w:rPr>
        <w:t>la fecha de inicio</w:t>
      </w:r>
      <w:r w:rsidR="001B6A3E" w:rsidRPr="009B582F">
        <w:rPr>
          <w:rFonts w:ascii="Century Gothic" w:hAnsi="Century Gothic"/>
          <w:b w:val="0"/>
          <w:sz w:val="24"/>
          <w:szCs w:val="24"/>
        </w:rPr>
        <w:t xml:space="preserve"> del contrato.</w:t>
      </w:r>
    </w:p>
    <w:p w14:paraId="0683CCD8" w14:textId="77777777" w:rsidR="00C21BE6" w:rsidRPr="009B582F" w:rsidRDefault="00C21BE6" w:rsidP="00C21BE6"/>
    <w:p w14:paraId="09561D77" w14:textId="77777777" w:rsidR="00737396" w:rsidRDefault="00737396" w:rsidP="00737396">
      <w:pPr>
        <w:pStyle w:val="Prrafodelista"/>
        <w:numPr>
          <w:ilvl w:val="0"/>
          <w:numId w:val="10"/>
        </w:numPr>
        <w:spacing w:line="320" w:lineRule="exact"/>
        <w:jc w:val="both"/>
        <w:rPr>
          <w:rFonts w:ascii="Century Gothic" w:hAnsi="Century Gothic"/>
        </w:rPr>
      </w:pPr>
      <w:r w:rsidRPr="009B582F">
        <w:rPr>
          <w:rFonts w:ascii="Century Gothic" w:hAnsi="Century Gothic"/>
        </w:rPr>
        <w:t xml:space="preserve">La propuesta debe presentarse en 7 páginas como máximo, en tamaño de letra 12, y debe contener todos los ítems aquí relacionados. </w:t>
      </w:r>
    </w:p>
    <w:p w14:paraId="47B50B0A" w14:textId="77777777" w:rsidR="0043414A" w:rsidRDefault="0043414A" w:rsidP="0043414A">
      <w:pPr>
        <w:pStyle w:val="Prrafodelista"/>
        <w:rPr>
          <w:rFonts w:ascii="Century Gothic" w:hAnsi="Century Gothic"/>
        </w:rPr>
      </w:pPr>
    </w:p>
    <w:p w14:paraId="077549F1" w14:textId="77777777" w:rsidR="0043414A" w:rsidRPr="00653021" w:rsidRDefault="0043414A" w:rsidP="0043414A">
      <w:pPr>
        <w:pStyle w:val="Ttulo1"/>
        <w:numPr>
          <w:ilvl w:val="0"/>
          <w:numId w:val="0"/>
        </w:numPr>
        <w:spacing w:before="0"/>
        <w:ind w:left="431"/>
        <w:jc w:val="both"/>
        <w:rPr>
          <w:rFonts w:ascii="Century Gothic" w:hAnsi="Century Gothic"/>
          <w:b w:val="0"/>
          <w:sz w:val="24"/>
        </w:rPr>
      </w:pPr>
      <w:r w:rsidRPr="00653021">
        <w:rPr>
          <w:rFonts w:ascii="Century Gothic" w:hAnsi="Century Gothic"/>
          <w:b w:val="0"/>
          <w:sz w:val="24"/>
          <w:lang w:val="es-ES"/>
        </w:rPr>
        <w:t xml:space="preserve">3. </w:t>
      </w:r>
      <w:r w:rsidRPr="00653021">
        <w:rPr>
          <w:rFonts w:ascii="Century Gothic" w:hAnsi="Century Gothic"/>
          <w:b w:val="0"/>
          <w:sz w:val="24"/>
        </w:rPr>
        <w:t>Criterios de eva</w:t>
      </w:r>
      <w:r>
        <w:rPr>
          <w:rFonts w:ascii="Century Gothic" w:hAnsi="Century Gothic"/>
          <w:b w:val="0"/>
          <w:sz w:val="24"/>
        </w:rPr>
        <w:t>luación de prácticas académicas</w:t>
      </w:r>
      <w:r>
        <w:rPr>
          <w:rFonts w:ascii="Century Gothic" w:hAnsi="Century Gothic"/>
          <w:b w:val="0"/>
          <w:sz w:val="24"/>
          <w:lang w:val="es-ES"/>
        </w:rPr>
        <w:t>:</w:t>
      </w:r>
    </w:p>
    <w:p w14:paraId="39A244B8" w14:textId="77777777" w:rsidR="0043414A" w:rsidRPr="00653021" w:rsidRDefault="0043414A" w:rsidP="0043414A">
      <w:pPr>
        <w:jc w:val="both"/>
        <w:rPr>
          <w:rFonts w:ascii="Century Gothic" w:hAnsi="Century Gothic"/>
          <w:sz w:val="20"/>
        </w:rPr>
      </w:pPr>
    </w:p>
    <w:p w14:paraId="21331A17" w14:textId="77777777" w:rsidR="0043414A" w:rsidRPr="008F79EF" w:rsidRDefault="00323D7E" w:rsidP="0043414A">
      <w:pPr>
        <w:ind w:left="431"/>
        <w:rPr>
          <w:rFonts w:ascii="Century Gothic" w:hAnsi="Century Gothic"/>
        </w:rPr>
      </w:pPr>
      <w:r>
        <w:rPr>
          <w:rFonts w:ascii="Century Gothic" w:hAnsi="Century Gothic"/>
        </w:rPr>
        <w:t xml:space="preserve">Propuesta: </w:t>
      </w:r>
      <w:r w:rsidR="0043414A" w:rsidRPr="008F79EF">
        <w:rPr>
          <w:rFonts w:ascii="Century Gothic" w:hAnsi="Century Gothic"/>
        </w:rPr>
        <w:t>20 %</w:t>
      </w:r>
    </w:p>
    <w:p w14:paraId="407CB6A1" w14:textId="77777777" w:rsidR="0043414A" w:rsidRPr="008F79EF" w:rsidRDefault="00323D7E" w:rsidP="0043414A">
      <w:pPr>
        <w:ind w:left="431"/>
        <w:rPr>
          <w:rFonts w:ascii="Century Gothic" w:hAnsi="Century Gothic"/>
        </w:rPr>
      </w:pPr>
      <w:r>
        <w:rPr>
          <w:rFonts w:ascii="Century Gothic" w:hAnsi="Century Gothic"/>
        </w:rPr>
        <w:t xml:space="preserve">Seguimiento: </w:t>
      </w:r>
      <w:r w:rsidR="0043414A" w:rsidRPr="008F79EF">
        <w:rPr>
          <w:rFonts w:ascii="Century Gothic" w:hAnsi="Century Gothic"/>
        </w:rPr>
        <w:t>10 %</w:t>
      </w:r>
    </w:p>
    <w:p w14:paraId="0B7702E7" w14:textId="77777777" w:rsidR="0043414A" w:rsidRPr="008F79EF" w:rsidRDefault="0043414A" w:rsidP="0043414A">
      <w:pPr>
        <w:ind w:left="431"/>
        <w:rPr>
          <w:rFonts w:ascii="Century Gothic" w:hAnsi="Century Gothic"/>
        </w:rPr>
      </w:pPr>
      <w:r w:rsidRPr="008F79EF">
        <w:rPr>
          <w:rFonts w:ascii="Century Gothic" w:hAnsi="Century Gothic"/>
        </w:rPr>
        <w:t>Informes parciales: 10 %</w:t>
      </w:r>
    </w:p>
    <w:p w14:paraId="6FB7052C" w14:textId="77777777" w:rsidR="0043414A" w:rsidRPr="008F79EF" w:rsidRDefault="0043414A" w:rsidP="0043414A">
      <w:pPr>
        <w:ind w:left="431"/>
        <w:rPr>
          <w:rFonts w:ascii="Century Gothic" w:hAnsi="Century Gothic"/>
        </w:rPr>
      </w:pPr>
      <w:r w:rsidRPr="008F79EF">
        <w:rPr>
          <w:rFonts w:ascii="Century Gothic" w:hAnsi="Century Gothic"/>
        </w:rPr>
        <w:t>Informe final: 40 %</w:t>
      </w:r>
    </w:p>
    <w:p w14:paraId="5B4E5E19" w14:textId="77777777" w:rsidR="0043414A" w:rsidRPr="008F79EF" w:rsidRDefault="0043414A" w:rsidP="0043414A">
      <w:pPr>
        <w:ind w:left="431"/>
        <w:rPr>
          <w:rFonts w:ascii="Century Gothic" w:hAnsi="Century Gothic"/>
        </w:rPr>
      </w:pPr>
      <w:r w:rsidRPr="008F79EF">
        <w:rPr>
          <w:rFonts w:ascii="Century Gothic" w:hAnsi="Century Gothic"/>
        </w:rPr>
        <w:t>Sustentación:</w:t>
      </w:r>
      <w:r w:rsidR="001F75F4">
        <w:rPr>
          <w:rFonts w:ascii="Century Gothic" w:hAnsi="Century Gothic"/>
        </w:rPr>
        <w:t xml:space="preserve"> </w:t>
      </w:r>
      <w:r w:rsidRPr="008F79EF">
        <w:rPr>
          <w:rFonts w:ascii="Century Gothic" w:hAnsi="Century Gothic"/>
        </w:rPr>
        <w:t>20 %</w:t>
      </w: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E2705" w14:textId="77777777" w:rsidR="005F2023" w:rsidRDefault="005F2023" w:rsidP="00880F28">
      <w:r>
        <w:separator/>
      </w:r>
    </w:p>
  </w:endnote>
  <w:endnote w:type="continuationSeparator" w:id="0">
    <w:p w14:paraId="6A3A83B3" w14:textId="77777777" w:rsidR="005F2023" w:rsidRDefault="005F2023"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6842" w14:textId="77777777" w:rsidR="005F2023" w:rsidRDefault="005F2023" w:rsidP="00880F28">
      <w:r>
        <w:separator/>
      </w:r>
    </w:p>
  </w:footnote>
  <w:footnote w:type="continuationSeparator" w:id="0">
    <w:p w14:paraId="5C59C231" w14:textId="77777777" w:rsidR="005F2023" w:rsidRDefault="005F2023"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CD6E0E" w:rsidRDefault="005F2023">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CD6E0E" w:rsidRDefault="005F2023"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CD6E0E" w:rsidRDefault="00CD6E0E" w:rsidP="007C14C8">
    <w:pPr>
      <w:pStyle w:val="Encabezado"/>
    </w:pPr>
  </w:p>
  <w:p w14:paraId="7EFC40AE" w14:textId="77777777" w:rsidR="00CD6E0E" w:rsidRDefault="00CD6E0E"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9"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9"/>
  </w:num>
  <w:num w:numId="8">
    <w:abstractNumId w:val="10"/>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854A6"/>
    <w:rsid w:val="00091220"/>
    <w:rsid w:val="000934CF"/>
    <w:rsid w:val="0009461F"/>
    <w:rsid w:val="00097609"/>
    <w:rsid w:val="00097DD1"/>
    <w:rsid w:val="000A6891"/>
    <w:rsid w:val="000B3A40"/>
    <w:rsid w:val="000B7E67"/>
    <w:rsid w:val="000C098A"/>
    <w:rsid w:val="000C4A4F"/>
    <w:rsid w:val="000D1C51"/>
    <w:rsid w:val="000D43C4"/>
    <w:rsid w:val="000E1C85"/>
    <w:rsid w:val="000E36D9"/>
    <w:rsid w:val="000E57DB"/>
    <w:rsid w:val="000F1416"/>
    <w:rsid w:val="000F74EB"/>
    <w:rsid w:val="00101EA6"/>
    <w:rsid w:val="001050E2"/>
    <w:rsid w:val="00107F38"/>
    <w:rsid w:val="00115C59"/>
    <w:rsid w:val="00121405"/>
    <w:rsid w:val="001256A7"/>
    <w:rsid w:val="00127705"/>
    <w:rsid w:val="00164F75"/>
    <w:rsid w:val="0017237F"/>
    <w:rsid w:val="00186B0A"/>
    <w:rsid w:val="001902C5"/>
    <w:rsid w:val="001952CB"/>
    <w:rsid w:val="001A157E"/>
    <w:rsid w:val="001B0E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B3227"/>
    <w:rsid w:val="003B6768"/>
    <w:rsid w:val="003C36A5"/>
    <w:rsid w:val="003D3A2D"/>
    <w:rsid w:val="003D703D"/>
    <w:rsid w:val="003E0B35"/>
    <w:rsid w:val="003E4774"/>
    <w:rsid w:val="003F15D4"/>
    <w:rsid w:val="003F4CC0"/>
    <w:rsid w:val="003F52C9"/>
    <w:rsid w:val="003F76CA"/>
    <w:rsid w:val="00405FF0"/>
    <w:rsid w:val="00410A9A"/>
    <w:rsid w:val="00411135"/>
    <w:rsid w:val="0043414A"/>
    <w:rsid w:val="00434968"/>
    <w:rsid w:val="00437A26"/>
    <w:rsid w:val="00451C67"/>
    <w:rsid w:val="00453317"/>
    <w:rsid w:val="0045670D"/>
    <w:rsid w:val="00465710"/>
    <w:rsid w:val="00471229"/>
    <w:rsid w:val="0048281A"/>
    <w:rsid w:val="00487A1F"/>
    <w:rsid w:val="0049504E"/>
    <w:rsid w:val="004A3E94"/>
    <w:rsid w:val="004C625E"/>
    <w:rsid w:val="004C6CCC"/>
    <w:rsid w:val="004D4344"/>
    <w:rsid w:val="004E320F"/>
    <w:rsid w:val="004F755F"/>
    <w:rsid w:val="005060C5"/>
    <w:rsid w:val="00535201"/>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5F2023"/>
    <w:rsid w:val="006168CE"/>
    <w:rsid w:val="00621038"/>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E3241"/>
    <w:rsid w:val="006F054D"/>
    <w:rsid w:val="00713481"/>
    <w:rsid w:val="00715F14"/>
    <w:rsid w:val="0072064F"/>
    <w:rsid w:val="0072666E"/>
    <w:rsid w:val="00731ADF"/>
    <w:rsid w:val="00733773"/>
    <w:rsid w:val="00737396"/>
    <w:rsid w:val="00754E89"/>
    <w:rsid w:val="00755D4C"/>
    <w:rsid w:val="00756546"/>
    <w:rsid w:val="00757499"/>
    <w:rsid w:val="00766E1A"/>
    <w:rsid w:val="00771AE3"/>
    <w:rsid w:val="00781914"/>
    <w:rsid w:val="00784864"/>
    <w:rsid w:val="00797FE4"/>
    <w:rsid w:val="007A394E"/>
    <w:rsid w:val="007A5412"/>
    <w:rsid w:val="007A5648"/>
    <w:rsid w:val="007A5F5F"/>
    <w:rsid w:val="007B05FE"/>
    <w:rsid w:val="007B1BCF"/>
    <w:rsid w:val="007B6A8B"/>
    <w:rsid w:val="007C14C8"/>
    <w:rsid w:val="007C4776"/>
    <w:rsid w:val="007D77DC"/>
    <w:rsid w:val="007E50F7"/>
    <w:rsid w:val="007F01DB"/>
    <w:rsid w:val="00807685"/>
    <w:rsid w:val="00812A4C"/>
    <w:rsid w:val="008169AA"/>
    <w:rsid w:val="0084038C"/>
    <w:rsid w:val="00844650"/>
    <w:rsid w:val="008533DC"/>
    <w:rsid w:val="008551D4"/>
    <w:rsid w:val="00861179"/>
    <w:rsid w:val="008640C9"/>
    <w:rsid w:val="00864791"/>
    <w:rsid w:val="00873060"/>
    <w:rsid w:val="00875547"/>
    <w:rsid w:val="00875E5D"/>
    <w:rsid w:val="00880F28"/>
    <w:rsid w:val="008814F1"/>
    <w:rsid w:val="008822B0"/>
    <w:rsid w:val="008868D6"/>
    <w:rsid w:val="0089715E"/>
    <w:rsid w:val="008A5365"/>
    <w:rsid w:val="008C1E9D"/>
    <w:rsid w:val="008C7D44"/>
    <w:rsid w:val="008D250F"/>
    <w:rsid w:val="009033A2"/>
    <w:rsid w:val="00903404"/>
    <w:rsid w:val="0090551E"/>
    <w:rsid w:val="00905C94"/>
    <w:rsid w:val="00911936"/>
    <w:rsid w:val="00934301"/>
    <w:rsid w:val="0094455C"/>
    <w:rsid w:val="0094543E"/>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F7574"/>
    <w:rsid w:val="009F7FB9"/>
    <w:rsid w:val="00A14677"/>
    <w:rsid w:val="00A162B6"/>
    <w:rsid w:val="00A165AF"/>
    <w:rsid w:val="00A20115"/>
    <w:rsid w:val="00A225F5"/>
    <w:rsid w:val="00A226B7"/>
    <w:rsid w:val="00A238D0"/>
    <w:rsid w:val="00A44B8A"/>
    <w:rsid w:val="00A54F7F"/>
    <w:rsid w:val="00A73A22"/>
    <w:rsid w:val="00A777D1"/>
    <w:rsid w:val="00A82B5E"/>
    <w:rsid w:val="00A92A16"/>
    <w:rsid w:val="00A95033"/>
    <w:rsid w:val="00AA0B7A"/>
    <w:rsid w:val="00AA394D"/>
    <w:rsid w:val="00AB0932"/>
    <w:rsid w:val="00AB4603"/>
    <w:rsid w:val="00AB7E75"/>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E4482"/>
    <w:rsid w:val="00DE4626"/>
    <w:rsid w:val="00DE49FA"/>
    <w:rsid w:val="00DF5229"/>
    <w:rsid w:val="00DF730B"/>
    <w:rsid w:val="00E03913"/>
    <w:rsid w:val="00E04F6F"/>
    <w:rsid w:val="00E10DB9"/>
    <w:rsid w:val="00E2108C"/>
    <w:rsid w:val="00E2135B"/>
    <w:rsid w:val="00E238E0"/>
    <w:rsid w:val="00E26AC2"/>
    <w:rsid w:val="00E270B6"/>
    <w:rsid w:val="00E276A5"/>
    <w:rsid w:val="00E322D7"/>
    <w:rsid w:val="00E353D3"/>
    <w:rsid w:val="00E35CA1"/>
    <w:rsid w:val="00E54AD9"/>
    <w:rsid w:val="00E57149"/>
    <w:rsid w:val="00E57B52"/>
    <w:rsid w:val="00E65BA1"/>
    <w:rsid w:val="00E72149"/>
    <w:rsid w:val="00E75DCD"/>
    <w:rsid w:val="00E771C2"/>
    <w:rsid w:val="00E86A49"/>
    <w:rsid w:val="00E9271B"/>
    <w:rsid w:val="00EB12CC"/>
    <w:rsid w:val="00EB568B"/>
    <w:rsid w:val="00EC08DC"/>
    <w:rsid w:val="00EC280D"/>
    <w:rsid w:val="00EC53AA"/>
    <w:rsid w:val="00ED0252"/>
    <w:rsid w:val="00ED2E62"/>
    <w:rsid w:val="00ED3412"/>
    <w:rsid w:val="00ED7494"/>
    <w:rsid w:val="00EE3D45"/>
    <w:rsid w:val="00EE54CC"/>
    <w:rsid w:val="00EF2E04"/>
    <w:rsid w:val="00EF3FE8"/>
    <w:rsid w:val="00EF6B5A"/>
    <w:rsid w:val="00EF6F58"/>
    <w:rsid w:val="00EF792D"/>
    <w:rsid w:val="00F011F3"/>
    <w:rsid w:val="00F13DB7"/>
    <w:rsid w:val="00F158C7"/>
    <w:rsid w:val="00F17BD9"/>
    <w:rsid w:val="00F2132D"/>
    <w:rsid w:val="00F2165B"/>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43147981">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469444711">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586960107">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24115710">
      <w:bodyDiv w:val="1"/>
      <w:marLeft w:val="0"/>
      <w:marRight w:val="0"/>
      <w:marTop w:val="0"/>
      <w:marBottom w:val="0"/>
      <w:divBdr>
        <w:top w:val="none" w:sz="0" w:space="0" w:color="auto"/>
        <w:left w:val="none" w:sz="0" w:space="0" w:color="auto"/>
        <w:bottom w:val="none" w:sz="0" w:space="0" w:color="auto"/>
        <w:right w:val="none" w:sz="0" w:space="0" w:color="auto"/>
      </w:divBdr>
    </w:div>
    <w:div w:id="1345940604">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645313853">
      <w:bodyDiv w:val="1"/>
      <w:marLeft w:val="0"/>
      <w:marRight w:val="0"/>
      <w:marTop w:val="0"/>
      <w:marBottom w:val="0"/>
      <w:divBdr>
        <w:top w:val="none" w:sz="0" w:space="0" w:color="auto"/>
        <w:left w:val="none" w:sz="0" w:space="0" w:color="auto"/>
        <w:bottom w:val="none" w:sz="0" w:space="0" w:color="auto"/>
        <w:right w:val="none" w:sz="0" w:space="0" w:color="auto"/>
      </w:divBdr>
    </w:div>
    <w:div w:id="1696613691">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Mon21</b:Tag>
    <b:SourceType>Misc</b:SourceType>
    <b:Guid>{822B2B17-AFD7-483F-A428-0864E4758304}</b:Guid>
    <b:Title>Comunicación Personal</b:Title>
    <b:Year>2021</b:Year>
    <b:Author>
      <b:Author>
        <b:NameList>
          <b:Person>
            <b:Last>Montoya </b:Last>
            <b:First>Julian</b:First>
          </b:Person>
          <b:Person>
            <b:Last>Camilo</b:Last>
            <b:First>Perez</b:First>
          </b:Person>
        </b:NameList>
      </b:Author>
    </b:Author>
    <b:City>Medellín</b:City>
    <b:RefOrder>7</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s>
</file>

<file path=customXml/itemProps1.xml><?xml version="1.0" encoding="utf-8"?>
<ds:datastoreItem xmlns:ds="http://schemas.openxmlformats.org/officeDocument/2006/customXml" ds:itemID="{E7A3004D-E882-4F96-AF2D-B69AE1AB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7</Pages>
  <Words>2253</Words>
  <Characters>12395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13</cp:revision>
  <cp:lastPrinted>2005-02-08T22:19:00Z</cp:lastPrinted>
  <dcterms:created xsi:type="dcterms:W3CDTF">2021-03-05T16:05:00Z</dcterms:created>
  <dcterms:modified xsi:type="dcterms:W3CDTF">2021-03-07T21:28:00Z</dcterms:modified>
</cp:coreProperties>
</file>