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Erwin Alexánder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r>
              <w:rPr>
                <w:rFonts w:ascii="Century Gothic" w:hAnsi="Century Gothic" w:cs="Arial"/>
                <w:color w:val="000000"/>
              </w:rPr>
              <w:t>Internexa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9A352B"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7"/>
        <w:gridCol w:w="5473"/>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94455C" w:rsidRDefault="00EE54CC" w:rsidP="00F90EB4">
            <w:pPr>
              <w:rPr>
                <w:rFonts w:ascii="Arial" w:hAnsi="Arial" w:cs="Arial"/>
                <w:color w:val="000000"/>
              </w:rPr>
            </w:pPr>
            <w:r>
              <w:rPr>
                <w:rFonts w:ascii="Arial" w:hAnsi="Arial" w:cs="Arial"/>
                <w:color w:val="000000"/>
              </w:rPr>
              <w:t>Internexa</w:t>
            </w:r>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EE54CC" w:rsidRDefault="009A352B" w:rsidP="00F90EB4">
            <w:pPr>
              <w:rPr>
                <w:rFonts w:ascii="Arial" w:hAnsi="Arial" w:cs="Arial"/>
                <w:color w:val="000000"/>
              </w:rPr>
            </w:pPr>
            <w:hyperlink r:id="rId10" w:history="1">
              <w:r w:rsidR="00EE54CC" w:rsidRPr="00EE54CC">
                <w:rPr>
                  <w:rStyle w:val="Hipervnculo"/>
                  <w:rFonts w:ascii="Arial" w:hAnsi="Arial" w:cs="Arial"/>
                  <w:color w:val="auto"/>
                  <w:u w:val="none"/>
                  <w:shd w:val="clear" w:color="auto" w:fill="FFFFFF"/>
                </w:rPr>
                <w:t>CALLE 12 SUR</w:t>
              </w:r>
            </w:hyperlink>
            <w:r w:rsidR="00EE54CC" w:rsidRPr="00EE54CC">
              <w:rPr>
                <w:rFonts w:ascii="Arial" w:hAnsi="Arial" w:cs="Arial"/>
                <w:shd w:val="clear" w:color="auto" w:fill="FFFFFF"/>
              </w:rPr>
              <w:t> </w:t>
            </w:r>
            <w:hyperlink r:id="rId11" w:history="1">
              <w:r w:rsidR="00EE54CC" w:rsidRPr="00EE54CC">
                <w:rPr>
                  <w:rStyle w:val="Hipervnculo"/>
                  <w:rFonts w:ascii="Arial" w:hAnsi="Arial" w:cs="Arial"/>
                  <w:color w:val="auto"/>
                  <w:u w:val="none"/>
                  <w:shd w:val="clear" w:color="auto" w:fill="FFFFFF"/>
                </w:rPr>
                <w:t>18 168</w:t>
              </w:r>
            </w:hyperlink>
            <w:r w:rsidR="00EE54CC" w:rsidRPr="00EE54CC">
              <w:rPr>
                <w:rFonts w:ascii="Arial" w:hAnsi="Arial" w:cs="Arial"/>
                <w:shd w:val="clear" w:color="auto" w:fill="FFFFFF"/>
              </w:rPr>
              <w:t> </w:t>
            </w:r>
            <w:hyperlink r:id="rId12" w:history="1">
              <w:r w:rsidR="00EE54CC" w:rsidRPr="00EE54CC">
                <w:rPr>
                  <w:rStyle w:val="Hipervnculo"/>
                  <w:rFonts w:ascii="Arial" w:hAnsi="Arial"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94455C" w:rsidRDefault="00EE54CC" w:rsidP="00F90EB4">
            <w:pPr>
              <w:rPr>
                <w:rFonts w:ascii="Arial" w:hAnsi="Arial" w:cs="Arial"/>
                <w:color w:val="000000"/>
              </w:rPr>
            </w:pPr>
            <w:r>
              <w:rPr>
                <w:rFonts w:ascii="Arial" w:hAnsi="Arial"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94455C" w:rsidRDefault="00FC1EB3" w:rsidP="00F90EB4">
            <w:pPr>
              <w:rPr>
                <w:rFonts w:ascii="Arial" w:hAnsi="Arial"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94455C" w:rsidRDefault="00EE54CC" w:rsidP="00F90EB4">
            <w:pPr>
              <w:rPr>
                <w:rFonts w:ascii="Arial" w:hAnsi="Arial" w:cs="Arial"/>
                <w:color w:val="000000"/>
              </w:rPr>
            </w:pPr>
            <w:r>
              <w:rPr>
                <w:rFonts w:ascii="Arial" w:hAnsi="Arial"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5E9D6D75" w14:textId="4092CC10" w:rsidR="00E2135B" w:rsidRPr="009B582F" w:rsidRDefault="00F13DB7" w:rsidP="00033459">
      <w:pPr>
        <w:spacing w:line="320" w:lineRule="exact"/>
        <w:jc w:val="both"/>
        <w:rPr>
          <w:rFonts w:ascii="Century Gothic" w:hAnsi="Century Gothic" w:cs="Arial"/>
          <w:b/>
        </w:rPr>
      </w:pPr>
      <w:r w:rsidRPr="009B582F">
        <w:rPr>
          <w:rFonts w:ascii="Century Gothic" w:hAnsi="Century Gothic" w:cs="Arial"/>
          <w:b/>
          <w:noProof/>
          <w:lang w:val="en-US" w:eastAsia="en-US"/>
        </w:rPr>
        <w:lastRenderedPageBreak/>
        <mc:AlternateContent>
          <mc:Choice Requires="wps">
            <w:drawing>
              <wp:anchor distT="0" distB="0" distL="114300" distR="114300" simplePos="0" relativeHeight="251652608" behindDoc="0" locked="0" layoutInCell="1" allowOverlap="1" wp14:anchorId="724EC809" wp14:editId="535CEA18">
                <wp:simplePos x="0" y="0"/>
                <wp:positionH relativeFrom="column">
                  <wp:posOffset>23495</wp:posOffset>
                </wp:positionH>
                <wp:positionV relativeFrom="paragraph">
                  <wp:posOffset>205105</wp:posOffset>
                </wp:positionV>
                <wp:extent cx="2158365" cy="0"/>
                <wp:effectExtent l="9525" t="9525" r="13335"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320F4" id="_x0000_t32" coordsize="21600,21600" o:spt="32" o:oned="t" path="m,l21600,21600e" filled="f">
                <v:path arrowok="t" fillok="f" o:connecttype="none"/>
                <o:lock v:ext="edit" shapetype="t"/>
              </v:shapetype>
              <v:shape id="AutoShape 39" o:spid="_x0000_s1026" type="#_x0000_t32" style="position:absolute;margin-left:1.85pt;margin-top:16.15pt;width:169.9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" strokecolor="#c2d69b"/>
            </w:pict>
          </mc:Fallback>
        </mc:AlternateContent>
      </w:r>
      <w:r w:rsidR="00EE54CC">
        <w:rPr>
          <w:rFonts w:ascii="Century Gothic" w:hAnsi="Century Gothic"/>
          <w:b/>
        </w:rPr>
        <w:t>MEJORAMIENTO DEL DESEMPEÑO DE LA RED MPLS HUAWEI COLOMBIA PARA ENTREGAR SERVICIOS CARRIER ETHERNET Y I</w:t>
      </w:r>
      <w:r w:rsidR="00B3471D">
        <w:rPr>
          <w:rFonts w:ascii="Century Gothic" w:hAnsi="Century Gothic"/>
          <w:b/>
        </w:rPr>
        <w:t>P NEXT GENERATION</w:t>
      </w:r>
    </w:p>
    <w:p w14:paraId="587CFCD7" w14:textId="77777777" w:rsidR="00CA14B1" w:rsidRPr="00733773" w:rsidRDefault="00CA14B1" w:rsidP="00033459">
      <w:pPr>
        <w:spacing w:line="320" w:lineRule="exact"/>
        <w:jc w:val="both"/>
        <w:rPr>
          <w:rFonts w:ascii="Century Gothic" w:hAnsi="Century Gothic" w:cs="Arial"/>
          <w:b/>
          <w:sz w:val="22"/>
          <w:szCs w:val="22"/>
        </w:rPr>
      </w:pPr>
    </w:p>
    <w:p w14:paraId="4DFCAE0E" w14:textId="77777777" w:rsidR="00E2135B" w:rsidRPr="00733773" w:rsidRDefault="00E2135B" w:rsidP="00033459">
      <w:pPr>
        <w:spacing w:line="320" w:lineRule="exact"/>
        <w:jc w:val="both"/>
        <w:rPr>
          <w:rFonts w:ascii="Century Gothic" w:hAnsi="Century Gothic" w:cs="Arial"/>
          <w:b/>
          <w:sz w:val="22"/>
          <w:szCs w:val="22"/>
        </w:rPr>
      </w:pPr>
    </w:p>
    <w:p w14:paraId="71AE22C7" w14:textId="77777777" w:rsidR="00E2135B" w:rsidRPr="00733773" w:rsidRDefault="005060C5"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030EBCED" w14:textId="030E0CD2" w:rsidR="0045670D" w:rsidRDefault="00B3471D"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Internexa </w:t>
      </w:r>
      <w:r w:rsidR="00274944">
        <w:rPr>
          <w:rFonts w:ascii="Century Gothic" w:hAnsi="Century Gothic" w:cs="Arial"/>
          <w:sz w:val="22"/>
          <w:szCs w:val="22"/>
        </w:rPr>
        <w:t xml:space="preserve">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 </w:t>
      </w:r>
    </w:p>
    <w:p w14:paraId="4D0E84FE" w14:textId="5AFDEF9B" w:rsidR="00274944" w:rsidRDefault="00274944" w:rsidP="00033459">
      <w:pPr>
        <w:spacing w:line="320" w:lineRule="exact"/>
        <w:jc w:val="both"/>
        <w:rPr>
          <w:rFonts w:ascii="Century Gothic" w:hAnsi="Century Gothic" w:cs="Arial"/>
          <w:sz w:val="22"/>
          <w:szCs w:val="22"/>
        </w:rPr>
      </w:pPr>
      <w:r>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que cuenta metropolitanas, nacionales e internacionales. </w:t>
      </w:r>
    </w:p>
    <w:p w14:paraId="1B24EDDA" w14:textId="1DAC463A" w:rsidR="003400CF" w:rsidRDefault="000F74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Esta de red cuenta con tecnología de punta y posee 50.000 kilómetros de fibra óptica que permiten conectar a más de 868 clientes a través de 257 puntos de conexión. </w:t>
      </w:r>
    </w:p>
    <w:p w14:paraId="750EDC22" w14:textId="57A6C283" w:rsidR="003400CF" w:rsidRDefault="003400CF" w:rsidP="00033459">
      <w:pPr>
        <w:spacing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(MultiLabel Switching Protocol)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2325B3">
        <w:rPr>
          <w:rFonts w:ascii="Century Gothic" w:hAnsi="Century Gothic" w:cs="Arial"/>
          <w:sz w:val="22"/>
          <w:szCs w:val="22"/>
        </w:rPr>
        <w:t>; que es un servicio de capa 2 prestado a las empresas para interconectar sus sedes de manera local;</w:t>
      </w:r>
      <w:r>
        <w:rPr>
          <w:rFonts w:ascii="Century Gothic" w:hAnsi="Century Gothic" w:cs="Arial"/>
          <w:sz w:val="22"/>
          <w:szCs w:val="22"/>
        </w:rPr>
        <w:t xml:space="preserve"> y IP Next Generation (INTE)</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Distribution Network). </w:t>
      </w:r>
    </w:p>
    <w:p w14:paraId="7A79E5D2" w14:textId="44C7C76F" w:rsidR="002325B3" w:rsidRDefault="002325B3" w:rsidP="00033459">
      <w:pPr>
        <w:spacing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Operation Center) Latam, que cuenta con profesionales con énfasis en Ingeniería de Red,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System Interconection), para programar y configurar los servicios de ETHE Y INTE</w:t>
      </w:r>
      <w:r w:rsidR="001E79B5">
        <w:rPr>
          <w:rFonts w:ascii="Century Gothic" w:hAnsi="Century Gothic" w:cs="Arial"/>
          <w:sz w:val="22"/>
          <w:szCs w:val="22"/>
        </w:rPr>
        <w:t xml:space="preserve"> punto a punto y multipunto</w:t>
      </w:r>
      <w:r w:rsidR="00F011F3">
        <w:rPr>
          <w:rFonts w:ascii="Century Gothic" w:hAnsi="Century Gothic" w:cs="Arial"/>
          <w:sz w:val="22"/>
          <w:szCs w:val="22"/>
        </w:rPr>
        <w:t xml:space="preserve">. </w:t>
      </w:r>
    </w:p>
    <w:p w14:paraId="49058184" w14:textId="3FD854D9" w:rsidR="00F011F3" w:rsidRDefault="00F011F3" w:rsidP="00033459">
      <w:pPr>
        <w:spacing w:line="320" w:lineRule="exact"/>
        <w:jc w:val="both"/>
        <w:rPr>
          <w:rFonts w:ascii="Century Gothic" w:hAnsi="Century Gothic" w:cs="Arial"/>
          <w:sz w:val="22"/>
          <w:szCs w:val="22"/>
        </w:rPr>
      </w:pPr>
      <w:r>
        <w:rPr>
          <w:rFonts w:ascii="Century Gothic" w:hAnsi="Century Gothic" w:cs="Arial"/>
          <w:sz w:val="22"/>
          <w:szCs w:val="22"/>
        </w:rPr>
        <w:t>Hasta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(Command Line Interface</w:t>
      </w:r>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Esto es algo dispendioso porque toma 45 minutos la configuración de cada servicio</w:t>
      </w:r>
      <w:r w:rsidR="00BC6FB3">
        <w:rPr>
          <w:rFonts w:ascii="Century Gothic" w:hAnsi="Century Gothic" w:cs="Arial"/>
          <w:sz w:val="22"/>
          <w:szCs w:val="22"/>
        </w:rPr>
        <w:t xml:space="preserve">, sin contar los posibles errores al ingresar mal un comando, y además son varios los servicios que entrega la empresa. </w:t>
      </w:r>
    </w:p>
    <w:p w14:paraId="693BE3DE" w14:textId="5F32F05F" w:rsidR="00BC6FB3"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t>La primera versión de este software representaba una gran solución en cuanto a optimización, pero a mediados del año pasado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Por eso</w:t>
      </w:r>
      <w:r>
        <w:rPr>
          <w:rFonts w:ascii="Century Gothic" w:hAnsi="Century Gothic" w:cs="Arial"/>
          <w:sz w:val="22"/>
          <w:szCs w:val="22"/>
        </w:rPr>
        <w:t xml:space="preserve"> </w:t>
      </w:r>
      <w:r w:rsidR="004E320F">
        <w:rPr>
          <w:rFonts w:ascii="Century Gothic" w:hAnsi="Century Gothic" w:cs="Arial"/>
          <w:sz w:val="22"/>
          <w:szCs w:val="22"/>
        </w:rPr>
        <w:t>los ingenieros de configuración tienen que volver a configurar los nuevos servicios contratados manualmente.</w:t>
      </w:r>
    </w:p>
    <w:p w14:paraId="58ACB598" w14:textId="28AC9926" w:rsidR="00BC6FB3" w:rsidRPr="003400CF"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configuración automática de los nuevos servicios contratados y realizar una posible migración de servicios ya configurados por la metodología vieja. </w:t>
      </w:r>
    </w:p>
    <w:p w14:paraId="67727F9A" w14:textId="77777777" w:rsidR="0045670D" w:rsidRPr="00733773" w:rsidRDefault="00B707C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02179562" w:rsidR="00ED2E62" w:rsidRDefault="00ED2E62" w:rsidP="00033459">
      <w:pPr>
        <w:spacing w:line="320" w:lineRule="exact"/>
        <w:jc w:val="both"/>
        <w:rPr>
          <w:rFonts w:ascii="Century Gothic" w:hAnsi="Century Gothic" w:cs="Arial"/>
          <w:sz w:val="22"/>
          <w:szCs w:val="22"/>
        </w:rPr>
      </w:pPr>
      <w:r>
        <w:rPr>
          <w:rFonts w:ascii="Century Gothic" w:hAnsi="Century Gothic" w:cs="Arial"/>
          <w:sz w:val="22"/>
          <w:szCs w:val="22"/>
        </w:rPr>
        <w:t>Mejorar una plataforma de gestión ya existente, que configure los servicios de ETHE y INTE de manera automática adaptándose a las nuevas políticas establecidas en Internexa Colombia,</w:t>
      </w:r>
      <w:r w:rsidR="00FF13D8">
        <w:rPr>
          <w:rFonts w:ascii="Century Gothic" w:hAnsi="Century Gothic" w:cs="Arial"/>
          <w:sz w:val="22"/>
          <w:szCs w:val="22"/>
        </w:rPr>
        <w:t xml:space="preserve"> y</w:t>
      </w:r>
      <w:r>
        <w:rPr>
          <w:rFonts w:ascii="Century Gothic" w:hAnsi="Century Gothic" w:cs="Arial"/>
          <w:sz w:val="22"/>
          <w:szCs w:val="22"/>
        </w:rPr>
        <w:t xml:space="preserve"> aplicando buenas prácticas de seguridad.</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527CD750" w:rsidR="00ED2E62"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Reconocer la estructura y el funcionamiento de la red MPLS Huawei Colombia para el proceso y configuración de los servicios ETHE y INTE. </w:t>
      </w:r>
    </w:p>
    <w:p w14:paraId="1A5CEDA2" w14:textId="3E39996E" w:rsidR="00C6153B"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Interpretar la primera versión del software desarrollada por un practicante anterior para saber </w:t>
      </w:r>
      <w:r w:rsidR="00FF13D8">
        <w:rPr>
          <w:rFonts w:ascii="Century Gothic" w:hAnsi="Century Gothic" w:cs="Arial"/>
          <w:sz w:val="22"/>
          <w:szCs w:val="22"/>
        </w:rPr>
        <w:t>dónde</w:t>
      </w:r>
      <w:r>
        <w:rPr>
          <w:rFonts w:ascii="Century Gothic" w:hAnsi="Century Gothic" w:cs="Arial"/>
          <w:sz w:val="22"/>
          <w:szCs w:val="22"/>
        </w:rPr>
        <w:t xml:space="preserve"> realizar los cambios que se adapten a las nuevas políticas establecidas por Internexa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7692D62B" w:rsidR="00715F14" w:rsidRPr="00C6153B" w:rsidRDefault="00715F14"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 entre los cuales está el tiempo de ejecución que nos ayudara a comparar con el tiempo que le toma al configurador realizar los ajustes de manera manual.</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0AC64497" w14:textId="77777777" w:rsidR="00BC12F7" w:rsidRPr="00733773" w:rsidRDefault="00BC12F7"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exponen los conceptos </w:t>
      </w:r>
      <w:r w:rsidR="00B707C1" w:rsidRPr="00733773">
        <w:rPr>
          <w:rFonts w:ascii="Century Gothic" w:hAnsi="Century Gothic" w:cs="Arial"/>
          <w:sz w:val="22"/>
          <w:szCs w:val="22"/>
        </w:rPr>
        <w:t>teóricos</w:t>
      </w:r>
      <w:r w:rsidRPr="00733773">
        <w:rPr>
          <w:rFonts w:ascii="Century Gothic" w:hAnsi="Century Gothic" w:cs="Arial"/>
          <w:sz w:val="22"/>
          <w:szCs w:val="22"/>
        </w:rPr>
        <w:t xml:space="preserve"> que sustentan el desarrollo del </w:t>
      </w:r>
      <w:r w:rsidR="008D250F" w:rsidRPr="00733773">
        <w:rPr>
          <w:rFonts w:ascii="Century Gothic" w:hAnsi="Century Gothic" w:cs="Arial"/>
          <w:sz w:val="22"/>
          <w:szCs w:val="22"/>
        </w:rPr>
        <w:t>trabajo, debidamente</w:t>
      </w:r>
      <w:r w:rsidR="00731ADF">
        <w:rPr>
          <w:rFonts w:ascii="Century Gothic" w:hAnsi="Century Gothic" w:cs="Arial"/>
          <w:sz w:val="22"/>
          <w:szCs w:val="22"/>
        </w:rPr>
        <w:t xml:space="preserve"> </w:t>
      </w:r>
      <w:r w:rsidRPr="00733773">
        <w:rPr>
          <w:rFonts w:ascii="Century Gothic" w:hAnsi="Century Gothic" w:cs="Arial"/>
          <w:sz w:val="22"/>
          <w:szCs w:val="22"/>
        </w:rPr>
        <w:t xml:space="preserve">referenciados. </w:t>
      </w:r>
    </w:p>
    <w:p w14:paraId="73420C60" w14:textId="77777777" w:rsidR="009033A2" w:rsidRPr="00733773" w:rsidRDefault="009033A2" w:rsidP="00033459">
      <w:pPr>
        <w:spacing w:line="320" w:lineRule="exact"/>
        <w:jc w:val="both"/>
        <w:rPr>
          <w:rFonts w:ascii="Century Gothic" w:hAnsi="Century Gothic" w:cs="Arial"/>
          <w:b/>
          <w:sz w:val="22"/>
          <w:szCs w:val="22"/>
        </w:rPr>
      </w:pPr>
    </w:p>
    <w:p w14:paraId="47E1AF91"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Metodología</w:t>
      </w:r>
    </w:p>
    <w:p w14:paraId="38192EB5" w14:textId="77777777" w:rsidR="00EE3D45" w:rsidRPr="00733773" w:rsidRDefault="00EE3D45"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describen las actividades necesarias para alcanzar los objetivos planteados. </w:t>
      </w:r>
    </w:p>
    <w:p w14:paraId="3921B836" w14:textId="77777777" w:rsidR="00EE3D45" w:rsidRPr="00733773" w:rsidRDefault="00EE3D45" w:rsidP="00033459">
      <w:pPr>
        <w:spacing w:line="320" w:lineRule="exact"/>
        <w:jc w:val="both"/>
        <w:rPr>
          <w:rFonts w:ascii="Century Gothic" w:hAnsi="Century Gothic" w:cs="Arial"/>
          <w:b/>
          <w:sz w:val="22"/>
          <w:szCs w:val="22"/>
        </w:rPr>
      </w:pPr>
    </w:p>
    <w:p w14:paraId="5DA4BD04"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13F434A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Se escriben</w:t>
      </w:r>
      <w:r w:rsidR="00EE3D45" w:rsidRPr="00733773">
        <w:rPr>
          <w:rFonts w:ascii="Century Gothic" w:hAnsi="Century Gothic" w:cs="Arial"/>
          <w:sz w:val="22"/>
          <w:szCs w:val="22"/>
        </w:rPr>
        <w:t xml:space="preserve"> las di</w:t>
      </w:r>
      <w:r w:rsidR="00731ADF">
        <w:rPr>
          <w:rFonts w:ascii="Century Gothic" w:hAnsi="Century Gothic" w:cs="Arial"/>
          <w:sz w:val="22"/>
          <w:szCs w:val="22"/>
        </w:rPr>
        <w:t>ferentes actividades a realizar</w:t>
      </w:r>
      <w:r w:rsidR="00EE3D45" w:rsidRPr="00733773">
        <w:rPr>
          <w:rFonts w:ascii="Century Gothic" w:hAnsi="Century Gothic" w:cs="Arial"/>
          <w:sz w:val="22"/>
          <w:szCs w:val="22"/>
        </w:rPr>
        <w:t xml:space="preserve"> según la metodología</w:t>
      </w:r>
      <w:r w:rsidRPr="00733773">
        <w:rPr>
          <w:rFonts w:ascii="Century Gothic" w:hAnsi="Century Gothic" w:cs="Arial"/>
          <w:sz w:val="22"/>
          <w:szCs w:val="22"/>
        </w:rPr>
        <w:t xml:space="preserve">, </w:t>
      </w:r>
      <w:r w:rsidR="00EE3D45" w:rsidRPr="00733773">
        <w:rPr>
          <w:rFonts w:ascii="Century Gothic" w:hAnsi="Century Gothic" w:cs="Arial"/>
          <w:sz w:val="22"/>
          <w:szCs w:val="22"/>
        </w:rPr>
        <w:t xml:space="preserve">indicando el tiempo programado para su ejecución. </w:t>
      </w:r>
    </w:p>
    <w:p w14:paraId="1A9470E4" w14:textId="77777777" w:rsidR="00EE3D45" w:rsidRPr="00733773" w:rsidRDefault="00EE3D45" w:rsidP="00033459">
      <w:pPr>
        <w:spacing w:line="320" w:lineRule="exact"/>
        <w:jc w:val="both"/>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presenta</w:t>
      </w:r>
      <w:r w:rsidR="00EE3D45" w:rsidRPr="00733773">
        <w:rPr>
          <w:rFonts w:ascii="Century Gothic" w:hAnsi="Century Gothic" w:cs="Arial"/>
          <w:sz w:val="22"/>
          <w:szCs w:val="22"/>
        </w:rPr>
        <w:t xml:space="preserve"> lo que </w:t>
      </w:r>
      <w:r w:rsidRPr="00733773">
        <w:rPr>
          <w:rFonts w:ascii="Century Gothic" w:hAnsi="Century Gothic" w:cs="Arial"/>
          <w:sz w:val="22"/>
          <w:szCs w:val="22"/>
        </w:rPr>
        <w:t xml:space="preserve">se </w:t>
      </w:r>
      <w:r w:rsidR="00EE3D45" w:rsidRPr="00733773">
        <w:rPr>
          <w:rFonts w:ascii="Century Gothic" w:hAnsi="Century Gothic" w:cs="Arial"/>
          <w:sz w:val="22"/>
          <w:szCs w:val="22"/>
        </w:rPr>
        <w:t xml:space="preserve">espera alcanzar con la </w:t>
      </w:r>
      <w:r w:rsidRPr="00733773">
        <w:rPr>
          <w:rFonts w:ascii="Century Gothic" w:hAnsi="Century Gothic" w:cs="Arial"/>
          <w:sz w:val="22"/>
          <w:szCs w:val="22"/>
        </w:rPr>
        <w:t>realización</w:t>
      </w:r>
      <w:r w:rsidR="00EE3D45" w:rsidRPr="00733773">
        <w:rPr>
          <w:rFonts w:ascii="Century Gothic" w:hAnsi="Century Gothic" w:cs="Arial"/>
          <w:sz w:val="22"/>
          <w:szCs w:val="22"/>
        </w:rPr>
        <w:t xml:space="preserve"> del trabajo. </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2DF5ADC5" w14:textId="77777777" w:rsidR="00EE3D45" w:rsidRPr="00733773" w:rsidRDefault="00033459" w:rsidP="00033459">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Se </w:t>
      </w:r>
      <w:r w:rsidR="00674C7A" w:rsidRPr="00733773">
        <w:rPr>
          <w:rFonts w:ascii="Century Gothic" w:hAnsi="Century Gothic" w:cs="Arial"/>
          <w:sz w:val="22"/>
          <w:szCs w:val="22"/>
        </w:rPr>
        <w:t>escriben</w:t>
      </w:r>
      <w:r w:rsidRPr="00733773">
        <w:rPr>
          <w:rFonts w:ascii="Century Gothic" w:hAnsi="Century Gothic" w:cs="Arial"/>
          <w:sz w:val="22"/>
          <w:szCs w:val="22"/>
        </w:rPr>
        <w:t xml:space="preserve"> lo</w:t>
      </w:r>
      <w:r w:rsidR="00EE3D45" w:rsidRPr="00733773">
        <w:rPr>
          <w:rFonts w:ascii="Century Gothic" w:hAnsi="Century Gothic" w:cs="Arial"/>
          <w:sz w:val="22"/>
          <w:szCs w:val="22"/>
        </w:rPr>
        <w:t xml:space="preserve">s recursos necesarios para la realización del </w:t>
      </w:r>
      <w:r w:rsidR="008D250F" w:rsidRPr="00733773">
        <w:rPr>
          <w:rFonts w:ascii="Century Gothic" w:hAnsi="Century Gothic" w:cs="Arial"/>
          <w:sz w:val="22"/>
          <w:szCs w:val="22"/>
        </w:rPr>
        <w:t>proyecto (</w:t>
      </w:r>
      <w:r w:rsidR="00EE3D45" w:rsidRPr="00733773">
        <w:rPr>
          <w:rFonts w:ascii="Century Gothic" w:hAnsi="Century Gothic" w:cs="Arial"/>
          <w:sz w:val="22"/>
          <w:szCs w:val="22"/>
        </w:rPr>
        <w:t>gastos en personal, gastos en equipos o análisis, gastos en materiales o insumos)</w:t>
      </w:r>
      <w:r w:rsidRPr="00733773">
        <w:rPr>
          <w:rFonts w:ascii="Century Gothic" w:hAnsi="Century Gothic" w:cs="Arial"/>
          <w:sz w:val="22"/>
          <w:szCs w:val="22"/>
        </w:rPr>
        <w:t>.</w:t>
      </w:r>
    </w:p>
    <w:p w14:paraId="45182C91" w14:textId="77777777" w:rsidR="00EE3D45" w:rsidRPr="00733773" w:rsidRDefault="00EE3D45" w:rsidP="00033459">
      <w:pPr>
        <w:spacing w:line="320" w:lineRule="exact"/>
        <w:jc w:val="both"/>
        <w:rPr>
          <w:rFonts w:ascii="Century Gothic" w:hAnsi="Century Gothic" w:cs="Arial"/>
          <w:b/>
          <w:sz w:val="22"/>
          <w:szCs w:val="22"/>
        </w:rPr>
      </w:pPr>
    </w:p>
    <w:p w14:paraId="4B7293E3" w14:textId="77777777" w:rsidR="006A2364" w:rsidRPr="00733773" w:rsidRDefault="006A2364" w:rsidP="006A2364">
      <w:pPr>
        <w:spacing w:line="320" w:lineRule="exact"/>
        <w:jc w:val="both"/>
        <w:rPr>
          <w:rFonts w:ascii="Century Gothic" w:hAnsi="Century Gothic" w:cs="Arial"/>
          <w:b/>
          <w:sz w:val="22"/>
          <w:szCs w:val="22"/>
        </w:rPr>
      </w:pPr>
      <w:r w:rsidRPr="00733773">
        <w:rPr>
          <w:rFonts w:ascii="Century Gothic" w:hAnsi="Century Gothic" w:cs="Arial"/>
          <w:b/>
          <w:sz w:val="22"/>
          <w:szCs w:val="22"/>
        </w:rPr>
        <w:t>Referencias bibliográficas</w:t>
      </w:r>
    </w:p>
    <w:p w14:paraId="05A043CF" w14:textId="77777777" w:rsidR="00766E1A" w:rsidRPr="00733773" w:rsidRDefault="00207F50" w:rsidP="00BE5F11">
      <w:pPr>
        <w:spacing w:line="320" w:lineRule="exact"/>
        <w:jc w:val="both"/>
        <w:rPr>
          <w:rFonts w:ascii="Century Gothic" w:hAnsi="Century Gothic" w:cs="Arial"/>
          <w:sz w:val="22"/>
          <w:szCs w:val="22"/>
        </w:rPr>
      </w:pPr>
      <w:r w:rsidRPr="00733773">
        <w:rPr>
          <w:rFonts w:ascii="Century Gothic" w:hAnsi="Century Gothic" w:cs="Arial"/>
          <w:sz w:val="22"/>
          <w:szCs w:val="22"/>
        </w:rPr>
        <w:t xml:space="preserve">Citar y referenciar adecuadamente de acuerdo con la Norma Técnica Colombiana. </w:t>
      </w:r>
    </w:p>
    <w:p w14:paraId="70561597" w14:textId="77777777" w:rsidR="006D0EB9" w:rsidRPr="00733773" w:rsidRDefault="006D0EB9" w:rsidP="00BE5F11">
      <w:pPr>
        <w:spacing w:line="320" w:lineRule="exact"/>
        <w:jc w:val="both"/>
        <w:rPr>
          <w:rFonts w:ascii="Century Gothic" w:hAnsi="Century Gothic" w:cs="Arial"/>
          <w:b/>
          <w:sz w:val="22"/>
          <w:szCs w:val="22"/>
        </w:rPr>
      </w:pP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lastRenderedPageBreak/>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el contenido de la misma.</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77777777" w:rsidR="00731ADF" w:rsidRDefault="00731ADF" w:rsidP="00A777D1">
      <w:pPr>
        <w:spacing w:line="320" w:lineRule="exact"/>
        <w:jc w:val="both"/>
        <w:rPr>
          <w:rFonts w:ascii="Century Gothic" w:hAnsi="Century Gothic"/>
          <w:b/>
        </w:rPr>
      </w:pPr>
      <w:r>
        <w:rPr>
          <w:rFonts w:ascii="Century Gothic" w:hAnsi="Century Gothic"/>
          <w:b/>
        </w:rPr>
        <w:br w:type="page"/>
      </w:r>
    </w:p>
    <w:p w14:paraId="609C04B9" w14:textId="77777777" w:rsidR="001B6A3E" w:rsidRPr="009B582F" w:rsidRDefault="006E3241" w:rsidP="00A777D1">
      <w:pPr>
        <w:spacing w:line="320" w:lineRule="exact"/>
        <w:jc w:val="both"/>
        <w:rPr>
          <w:rFonts w:ascii="Century Gothic" w:hAnsi="Century Gothic"/>
        </w:rPr>
      </w:pPr>
      <w:r w:rsidRPr="009B582F">
        <w:rPr>
          <w:rFonts w:ascii="Century Gothic" w:hAnsi="Century Gothic"/>
          <w:b/>
        </w:rPr>
        <w:lastRenderedPageBreak/>
        <w:t>OBSERVACIONES</w:t>
      </w:r>
    </w:p>
    <w:p w14:paraId="5C6E1761" w14:textId="77777777" w:rsidR="00471229" w:rsidRPr="009B582F" w:rsidRDefault="00F13DB7" w:rsidP="00033459">
      <w:pPr>
        <w:pStyle w:val="Ttulo1"/>
        <w:numPr>
          <w:ilvl w:val="0"/>
          <w:numId w:val="10"/>
        </w:numPr>
        <w:spacing w:line="320" w:lineRule="exact"/>
        <w:jc w:val="both"/>
        <w:rPr>
          <w:rFonts w:ascii="Century Gothic" w:hAnsi="Century Gothic"/>
          <w:b w:val="0"/>
          <w:sz w:val="24"/>
          <w:szCs w:val="24"/>
        </w:rPr>
      </w:pPr>
      <w:r w:rsidRPr="009B582F">
        <w:rPr>
          <w:rFonts w:ascii="Century Gothic" w:hAnsi="Century Gothic"/>
          <w:b w:val="0"/>
          <w:noProof/>
          <w:sz w:val="24"/>
          <w:szCs w:val="24"/>
          <w:lang w:val="en-US" w:eastAsia="en-US"/>
        </w:rPr>
        <mc:AlternateContent>
          <mc:Choice Requires="wps">
            <w:drawing>
              <wp:anchor distT="0" distB="0" distL="114300" distR="114300" simplePos="0" relativeHeight="251653632" behindDoc="0" locked="0" layoutInCell="1" allowOverlap="1" wp14:anchorId="1BD6963B" wp14:editId="124E1E87">
                <wp:simplePos x="0" y="0"/>
                <wp:positionH relativeFrom="column">
                  <wp:posOffset>155575</wp:posOffset>
                </wp:positionH>
                <wp:positionV relativeFrom="paragraph">
                  <wp:posOffset>34925</wp:posOffset>
                </wp:positionV>
                <wp:extent cx="1346835" cy="0"/>
                <wp:effectExtent l="8255" t="13970" r="6985" b="508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83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81635" id="AutoShape 41" o:spid="_x0000_s1026" type="#_x0000_t32" style="position:absolute;margin-left:12.25pt;margin-top:2.75pt;width:106.0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" strokecolor="#c2d69b"/>
            </w:pict>
          </mc:Fallback>
        </mc:AlternateContent>
      </w:r>
      <w:r w:rsidR="001B6A3E" w:rsidRPr="009B582F">
        <w:rPr>
          <w:rFonts w:ascii="Century Gothic" w:hAnsi="Century Gothic"/>
          <w:b w:val="0"/>
          <w:sz w:val="24"/>
          <w:szCs w:val="24"/>
        </w:rPr>
        <w:t>La prop</w:t>
      </w:r>
      <w:r w:rsidR="00D154C0">
        <w:rPr>
          <w:rFonts w:ascii="Century Gothic" w:hAnsi="Century Gothic"/>
          <w:b w:val="0"/>
          <w:sz w:val="24"/>
          <w:szCs w:val="24"/>
        </w:rPr>
        <w:t xml:space="preserve">uesta debe entregarse máximo </w:t>
      </w:r>
      <w:r w:rsidR="003858C8">
        <w:rPr>
          <w:rFonts w:ascii="Century Gothic" w:hAnsi="Century Gothic"/>
          <w:b w:val="0"/>
          <w:sz w:val="24"/>
          <w:szCs w:val="24"/>
          <w:lang w:val="es-MX"/>
        </w:rPr>
        <w:t xml:space="preserve">45 días </w:t>
      </w:r>
      <w:r w:rsidR="00D154C0">
        <w:rPr>
          <w:rFonts w:ascii="Century Gothic" w:hAnsi="Century Gothic"/>
          <w:b w:val="0"/>
          <w:sz w:val="24"/>
          <w:szCs w:val="24"/>
          <w:lang w:val="es-MX"/>
        </w:rPr>
        <w:t xml:space="preserve">calendario </w:t>
      </w:r>
      <w:r w:rsidR="003858C8">
        <w:rPr>
          <w:rFonts w:ascii="Century Gothic" w:hAnsi="Century Gothic"/>
          <w:b w:val="0"/>
          <w:sz w:val="24"/>
          <w:szCs w:val="24"/>
          <w:lang w:val="es-MX"/>
        </w:rPr>
        <w:t xml:space="preserve">después </w:t>
      </w:r>
      <w:r w:rsidR="001B6A3E" w:rsidRPr="009B582F">
        <w:rPr>
          <w:rFonts w:ascii="Century Gothic" w:hAnsi="Century Gothic"/>
          <w:b w:val="0"/>
          <w:sz w:val="24"/>
          <w:szCs w:val="24"/>
        </w:rPr>
        <w:t xml:space="preserve">de </w:t>
      </w:r>
      <w:r w:rsidR="003858C8">
        <w:rPr>
          <w:rFonts w:ascii="Century Gothic" w:hAnsi="Century Gothic"/>
          <w:b w:val="0"/>
          <w:sz w:val="24"/>
          <w:szCs w:val="24"/>
          <w:lang w:val="es-MX"/>
        </w:rPr>
        <w:t>la fecha de inicio</w:t>
      </w:r>
      <w:r w:rsidR="001B6A3E" w:rsidRPr="009B582F">
        <w:rPr>
          <w:rFonts w:ascii="Century Gothic" w:hAnsi="Century Gothic"/>
          <w:b w:val="0"/>
          <w:sz w:val="24"/>
          <w:szCs w:val="24"/>
        </w:rPr>
        <w:t xml:space="preserve"> del contrato.</w:t>
      </w:r>
    </w:p>
    <w:p w14:paraId="0683CCD8" w14:textId="77777777" w:rsidR="00C21BE6" w:rsidRPr="009B582F" w:rsidRDefault="00C21BE6" w:rsidP="00C21BE6"/>
    <w:p w14:paraId="09561D77" w14:textId="77777777" w:rsidR="00737396" w:rsidRDefault="00737396" w:rsidP="00737396">
      <w:pPr>
        <w:pStyle w:val="Prrafodelista"/>
        <w:numPr>
          <w:ilvl w:val="0"/>
          <w:numId w:val="10"/>
        </w:numPr>
        <w:spacing w:line="320" w:lineRule="exact"/>
        <w:jc w:val="both"/>
        <w:rPr>
          <w:rFonts w:ascii="Century Gothic" w:hAnsi="Century Gothic"/>
        </w:rPr>
      </w:pPr>
      <w:r w:rsidRPr="009B582F">
        <w:rPr>
          <w:rFonts w:ascii="Century Gothic" w:hAnsi="Century Gothic"/>
        </w:rPr>
        <w:t xml:space="preserve">La propuesta debe presentarse en 7 páginas como máximo, en tamaño de letra 12, y debe contener todos los ítems aquí relacionados. </w:t>
      </w:r>
    </w:p>
    <w:p w14:paraId="47B50B0A" w14:textId="77777777" w:rsidR="0043414A" w:rsidRDefault="0043414A" w:rsidP="0043414A">
      <w:pPr>
        <w:pStyle w:val="Prrafodelista"/>
        <w:rPr>
          <w:rFonts w:ascii="Century Gothic" w:hAnsi="Century Gothic"/>
        </w:rPr>
      </w:pPr>
    </w:p>
    <w:p w14:paraId="077549F1" w14:textId="77777777" w:rsidR="0043414A" w:rsidRPr="00653021" w:rsidRDefault="0043414A" w:rsidP="0043414A">
      <w:pPr>
        <w:pStyle w:val="Ttulo1"/>
        <w:numPr>
          <w:ilvl w:val="0"/>
          <w:numId w:val="0"/>
        </w:numPr>
        <w:spacing w:before="0"/>
        <w:ind w:left="431"/>
        <w:jc w:val="both"/>
        <w:rPr>
          <w:rFonts w:ascii="Century Gothic" w:hAnsi="Century Gothic"/>
          <w:b w:val="0"/>
          <w:sz w:val="24"/>
        </w:rPr>
      </w:pPr>
      <w:r w:rsidRPr="00653021">
        <w:rPr>
          <w:rFonts w:ascii="Century Gothic" w:hAnsi="Century Gothic"/>
          <w:b w:val="0"/>
          <w:sz w:val="24"/>
          <w:lang w:val="es-ES"/>
        </w:rPr>
        <w:t xml:space="preserve">3. </w:t>
      </w:r>
      <w:r w:rsidRPr="00653021">
        <w:rPr>
          <w:rFonts w:ascii="Century Gothic" w:hAnsi="Century Gothic"/>
          <w:b w:val="0"/>
          <w:sz w:val="24"/>
        </w:rPr>
        <w:t>Criterios de eva</w:t>
      </w:r>
      <w:r>
        <w:rPr>
          <w:rFonts w:ascii="Century Gothic" w:hAnsi="Century Gothic"/>
          <w:b w:val="0"/>
          <w:sz w:val="24"/>
        </w:rPr>
        <w:t>luación de prácticas académicas</w:t>
      </w:r>
      <w:r>
        <w:rPr>
          <w:rFonts w:ascii="Century Gothic" w:hAnsi="Century Gothic"/>
          <w:b w:val="0"/>
          <w:sz w:val="24"/>
          <w:lang w:val="es-ES"/>
        </w:rPr>
        <w:t>:</w:t>
      </w:r>
    </w:p>
    <w:p w14:paraId="39A244B8" w14:textId="77777777" w:rsidR="0043414A" w:rsidRPr="00653021" w:rsidRDefault="0043414A" w:rsidP="0043414A">
      <w:pPr>
        <w:jc w:val="both"/>
        <w:rPr>
          <w:rFonts w:ascii="Century Gothic" w:hAnsi="Century Gothic"/>
          <w:sz w:val="20"/>
        </w:rPr>
      </w:pPr>
    </w:p>
    <w:p w14:paraId="21331A17" w14:textId="77777777" w:rsidR="0043414A" w:rsidRPr="008F79EF" w:rsidRDefault="00323D7E" w:rsidP="0043414A">
      <w:pPr>
        <w:ind w:left="431"/>
        <w:rPr>
          <w:rFonts w:ascii="Century Gothic" w:hAnsi="Century Gothic"/>
        </w:rPr>
      </w:pPr>
      <w:r>
        <w:rPr>
          <w:rFonts w:ascii="Century Gothic" w:hAnsi="Century Gothic"/>
        </w:rPr>
        <w:t xml:space="preserve">Propuesta: </w:t>
      </w:r>
      <w:r w:rsidR="0043414A" w:rsidRPr="008F79EF">
        <w:rPr>
          <w:rFonts w:ascii="Century Gothic" w:hAnsi="Century Gothic"/>
        </w:rPr>
        <w:t>20 %</w:t>
      </w:r>
    </w:p>
    <w:p w14:paraId="407CB6A1" w14:textId="77777777" w:rsidR="0043414A" w:rsidRPr="008F79EF" w:rsidRDefault="00323D7E" w:rsidP="0043414A">
      <w:pPr>
        <w:ind w:left="431"/>
        <w:rPr>
          <w:rFonts w:ascii="Century Gothic" w:hAnsi="Century Gothic"/>
        </w:rPr>
      </w:pPr>
      <w:r>
        <w:rPr>
          <w:rFonts w:ascii="Century Gothic" w:hAnsi="Century Gothic"/>
        </w:rPr>
        <w:t xml:space="preserve">Seguimiento: </w:t>
      </w:r>
      <w:r w:rsidR="0043414A" w:rsidRPr="008F79EF">
        <w:rPr>
          <w:rFonts w:ascii="Century Gothic" w:hAnsi="Century Gothic"/>
        </w:rPr>
        <w:t>10 %</w:t>
      </w:r>
    </w:p>
    <w:p w14:paraId="0B7702E7" w14:textId="77777777" w:rsidR="0043414A" w:rsidRPr="008F79EF" w:rsidRDefault="0043414A" w:rsidP="0043414A">
      <w:pPr>
        <w:ind w:left="431"/>
        <w:rPr>
          <w:rFonts w:ascii="Century Gothic" w:hAnsi="Century Gothic"/>
        </w:rPr>
      </w:pPr>
      <w:r w:rsidRPr="008F79EF">
        <w:rPr>
          <w:rFonts w:ascii="Century Gothic" w:hAnsi="Century Gothic"/>
        </w:rPr>
        <w:t>Informes parciales: 10 %</w:t>
      </w:r>
    </w:p>
    <w:p w14:paraId="6FB7052C" w14:textId="77777777" w:rsidR="0043414A" w:rsidRPr="008F79EF" w:rsidRDefault="0043414A" w:rsidP="0043414A">
      <w:pPr>
        <w:ind w:left="431"/>
        <w:rPr>
          <w:rFonts w:ascii="Century Gothic" w:hAnsi="Century Gothic"/>
        </w:rPr>
      </w:pPr>
      <w:r w:rsidRPr="008F79EF">
        <w:rPr>
          <w:rFonts w:ascii="Century Gothic" w:hAnsi="Century Gothic"/>
        </w:rPr>
        <w:t>Informe final: 40 %</w:t>
      </w:r>
    </w:p>
    <w:p w14:paraId="5B4E5E19" w14:textId="77777777" w:rsidR="0043414A" w:rsidRPr="008F79EF" w:rsidRDefault="0043414A" w:rsidP="0043414A">
      <w:pPr>
        <w:ind w:left="431"/>
        <w:rPr>
          <w:rFonts w:ascii="Century Gothic" w:hAnsi="Century Gothic"/>
        </w:rPr>
      </w:pPr>
      <w:r w:rsidRPr="008F79EF">
        <w:rPr>
          <w:rFonts w:ascii="Century Gothic" w:hAnsi="Century Gothic"/>
        </w:rPr>
        <w:t>Sustentación:</w:t>
      </w:r>
      <w:r w:rsidR="001F75F4">
        <w:rPr>
          <w:rFonts w:ascii="Century Gothic" w:hAnsi="Century Gothic"/>
        </w:rPr>
        <w:t xml:space="preserve"> </w:t>
      </w:r>
      <w:r w:rsidRPr="008F79EF">
        <w:rPr>
          <w:rFonts w:ascii="Century Gothic" w:hAnsi="Century Gothic"/>
        </w:rPr>
        <w:t>20 %</w:t>
      </w: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F8A90" w14:textId="77777777" w:rsidR="009A352B" w:rsidRDefault="009A352B" w:rsidP="00880F28">
      <w:r>
        <w:separator/>
      </w:r>
    </w:p>
  </w:endnote>
  <w:endnote w:type="continuationSeparator" w:id="0">
    <w:p w14:paraId="1BB3B36F" w14:textId="77777777" w:rsidR="009A352B" w:rsidRDefault="009A352B"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890CC" w14:textId="77777777" w:rsidR="009A352B" w:rsidRDefault="009A352B" w:rsidP="00880F28">
      <w:r>
        <w:separator/>
      </w:r>
    </w:p>
  </w:footnote>
  <w:footnote w:type="continuationSeparator" w:id="0">
    <w:p w14:paraId="57C5ECF2" w14:textId="77777777" w:rsidR="009A352B" w:rsidRDefault="009A352B"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CD6E0E" w:rsidRDefault="009A352B">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CD6E0E" w:rsidRDefault="009A352B"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CD6E0E" w:rsidRDefault="00CD6E0E" w:rsidP="007C14C8">
    <w:pPr>
      <w:pStyle w:val="Encabezado"/>
    </w:pPr>
  </w:p>
  <w:p w14:paraId="7EFC40AE" w14:textId="77777777" w:rsidR="00CD6E0E" w:rsidRDefault="00CD6E0E"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7"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9"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9"/>
  </w:num>
  <w:num w:numId="8">
    <w:abstractNumId w:val="10"/>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91220"/>
    <w:rsid w:val="000934CF"/>
    <w:rsid w:val="0009461F"/>
    <w:rsid w:val="00097DD1"/>
    <w:rsid w:val="000A6891"/>
    <w:rsid w:val="000B3A40"/>
    <w:rsid w:val="000B7E67"/>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B3227"/>
    <w:rsid w:val="003B6768"/>
    <w:rsid w:val="003C36A5"/>
    <w:rsid w:val="003D3A2D"/>
    <w:rsid w:val="003E0B35"/>
    <w:rsid w:val="003E4774"/>
    <w:rsid w:val="003F15D4"/>
    <w:rsid w:val="003F4CC0"/>
    <w:rsid w:val="003F52C9"/>
    <w:rsid w:val="003F76CA"/>
    <w:rsid w:val="00405FF0"/>
    <w:rsid w:val="00410A9A"/>
    <w:rsid w:val="00411135"/>
    <w:rsid w:val="0043414A"/>
    <w:rsid w:val="00434968"/>
    <w:rsid w:val="00437A26"/>
    <w:rsid w:val="00451C67"/>
    <w:rsid w:val="0045670D"/>
    <w:rsid w:val="00465710"/>
    <w:rsid w:val="00471229"/>
    <w:rsid w:val="0048281A"/>
    <w:rsid w:val="00487A1F"/>
    <w:rsid w:val="0049504E"/>
    <w:rsid w:val="004A3E94"/>
    <w:rsid w:val="004C625E"/>
    <w:rsid w:val="004C6CCC"/>
    <w:rsid w:val="004D4344"/>
    <w:rsid w:val="004E320F"/>
    <w:rsid w:val="004F755F"/>
    <w:rsid w:val="005060C5"/>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6168CE"/>
    <w:rsid w:val="00621038"/>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F054D"/>
    <w:rsid w:val="00713481"/>
    <w:rsid w:val="00715F14"/>
    <w:rsid w:val="0072064F"/>
    <w:rsid w:val="0072666E"/>
    <w:rsid w:val="00731ADF"/>
    <w:rsid w:val="00733773"/>
    <w:rsid w:val="00737396"/>
    <w:rsid w:val="00754E89"/>
    <w:rsid w:val="00755D4C"/>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D77DC"/>
    <w:rsid w:val="007F01DB"/>
    <w:rsid w:val="00807685"/>
    <w:rsid w:val="00812A4C"/>
    <w:rsid w:val="008169AA"/>
    <w:rsid w:val="0084038C"/>
    <w:rsid w:val="00844650"/>
    <w:rsid w:val="008533DC"/>
    <w:rsid w:val="008551D4"/>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58BE"/>
    <w:rsid w:val="00960D13"/>
    <w:rsid w:val="00986DDE"/>
    <w:rsid w:val="009905F1"/>
    <w:rsid w:val="009A352B"/>
    <w:rsid w:val="009A3923"/>
    <w:rsid w:val="009A77AA"/>
    <w:rsid w:val="009B582F"/>
    <w:rsid w:val="009C57E2"/>
    <w:rsid w:val="009C5B65"/>
    <w:rsid w:val="009C62AD"/>
    <w:rsid w:val="009C62DD"/>
    <w:rsid w:val="009D44E5"/>
    <w:rsid w:val="009D5337"/>
    <w:rsid w:val="009F7FB9"/>
    <w:rsid w:val="00A14677"/>
    <w:rsid w:val="00A162B6"/>
    <w:rsid w:val="00A165AF"/>
    <w:rsid w:val="00A20115"/>
    <w:rsid w:val="00A225F5"/>
    <w:rsid w:val="00A226B7"/>
    <w:rsid w:val="00A238D0"/>
    <w:rsid w:val="00A44B8A"/>
    <w:rsid w:val="00A54F7F"/>
    <w:rsid w:val="00A73A22"/>
    <w:rsid w:val="00A777D1"/>
    <w:rsid w:val="00A82B5E"/>
    <w:rsid w:val="00A92A16"/>
    <w:rsid w:val="00A95033"/>
    <w:rsid w:val="00AA0B7A"/>
    <w:rsid w:val="00AA394D"/>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5D4F"/>
    <w:rsid w:val="00CD6E0E"/>
    <w:rsid w:val="00CE5BFB"/>
    <w:rsid w:val="00CE61EA"/>
    <w:rsid w:val="00CF1767"/>
    <w:rsid w:val="00CF43E4"/>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70482"/>
    <w:rsid w:val="00D822B7"/>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CA1"/>
    <w:rsid w:val="00E54AD9"/>
    <w:rsid w:val="00E57149"/>
    <w:rsid w:val="00E57B52"/>
    <w:rsid w:val="00E65BA1"/>
    <w:rsid w:val="00E75DCD"/>
    <w:rsid w:val="00E771C2"/>
    <w:rsid w:val="00E86A49"/>
    <w:rsid w:val="00E9271B"/>
    <w:rsid w:val="00EB12CC"/>
    <w:rsid w:val="00EC08DC"/>
    <w:rsid w:val="00EC280D"/>
    <w:rsid w:val="00EC53AA"/>
    <w:rsid w:val="00ED0252"/>
    <w:rsid w:val="00ED2E62"/>
    <w:rsid w:val="00ED3412"/>
    <w:rsid w:val="00ED7494"/>
    <w:rsid w:val="00EE3D45"/>
    <w:rsid w:val="00EE54CC"/>
    <w:rsid w:val="00EF2E04"/>
    <w:rsid w:val="00EF3FE8"/>
    <w:rsid w:val="00EF6F58"/>
    <w:rsid w:val="00EF792D"/>
    <w:rsid w:val="00F011F3"/>
    <w:rsid w:val="00F13DB7"/>
    <w:rsid w:val="00F17BD9"/>
    <w:rsid w:val="00F2132D"/>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E1A41-77B8-40B5-BDDB-EA3F0125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6</cp:revision>
  <cp:lastPrinted>2005-02-08T22:19:00Z</cp:lastPrinted>
  <dcterms:created xsi:type="dcterms:W3CDTF">2021-03-05T16:05:00Z</dcterms:created>
  <dcterms:modified xsi:type="dcterms:W3CDTF">2021-03-05T21:15:00Z</dcterms:modified>
</cp:coreProperties>
</file>