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E5DD" w14:textId="77777777" w:rsidR="00161F82" w:rsidRPr="00161F82" w:rsidRDefault="00161F82" w:rsidP="00161F82">
      <w:pPr>
        <w:pStyle w:val="Ttulo"/>
        <w:spacing w:before="480" w:after="360" w:line="360" w:lineRule="auto"/>
        <w:rPr>
          <w:rFonts w:ascii="Arial" w:hAnsi="Arial" w:cs="Arial"/>
          <w:lang w:val="es-CL"/>
        </w:rPr>
      </w:pPr>
    </w:p>
    <w:p w14:paraId="61F96333" w14:textId="77777777" w:rsidR="00161F82" w:rsidRPr="00161F82" w:rsidRDefault="00161F82" w:rsidP="00161F82">
      <w:pPr>
        <w:pStyle w:val="Ttulo"/>
        <w:spacing w:before="480" w:after="360" w:line="360" w:lineRule="auto"/>
        <w:rPr>
          <w:rFonts w:ascii="Arial" w:hAnsi="Arial" w:cs="Arial"/>
          <w:lang w:val="es-CL"/>
        </w:rPr>
      </w:pPr>
    </w:p>
    <w:p w14:paraId="01348CF4" w14:textId="77777777" w:rsidR="00161F82" w:rsidRPr="00161F82" w:rsidRDefault="00161F82" w:rsidP="00161F82">
      <w:pPr>
        <w:spacing w:line="360" w:lineRule="auto"/>
        <w:rPr>
          <w:rFonts w:ascii="Arial" w:hAnsi="Arial" w:cs="Arial"/>
          <w:lang w:val="es-CL"/>
        </w:rPr>
      </w:pPr>
    </w:p>
    <w:p w14:paraId="0530B34A" w14:textId="77777777" w:rsidR="00161F82" w:rsidRPr="00161F82" w:rsidRDefault="00161F82" w:rsidP="00161F82">
      <w:pPr>
        <w:pStyle w:val="Ttulo"/>
        <w:spacing w:before="480" w:after="360" w:line="360" w:lineRule="auto"/>
        <w:rPr>
          <w:rFonts w:ascii="Arial" w:hAnsi="Arial" w:cs="Arial"/>
          <w:lang w:val="es-CL"/>
        </w:rPr>
      </w:pPr>
    </w:p>
    <w:p w14:paraId="152B872C" w14:textId="72CEDE3D" w:rsidR="007B7F48" w:rsidRPr="00161F82" w:rsidRDefault="00000000" w:rsidP="00161F82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Diagramas UML de Localito</w:t>
      </w:r>
    </w:p>
    <w:p w14:paraId="41ED6DFD" w14:textId="77777777" w:rsidR="007B7F48" w:rsidRPr="00161F82" w:rsidRDefault="00000000" w:rsidP="00161F82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Proyecto Capstone de Ingeniería en Informática</w:t>
      </w:r>
    </w:p>
    <w:p w14:paraId="4CA155EE" w14:textId="77777777" w:rsidR="007B7F48" w:rsidRPr="00161F82" w:rsidRDefault="00000000" w:rsidP="00161F82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Localito PWA SaaS para gestión de pequeños comercios</w:t>
      </w:r>
    </w:p>
    <w:p w14:paraId="2B56C2DB" w14:textId="77777777" w:rsidR="00161F82" w:rsidRPr="00161F82" w:rsidRDefault="00161F82" w:rsidP="00161F82">
      <w:pPr>
        <w:spacing w:before="760" w:line="360" w:lineRule="auto"/>
        <w:rPr>
          <w:rFonts w:ascii="Arial" w:hAnsi="Arial" w:cs="Arial"/>
          <w:b/>
          <w:lang w:val="es-CL"/>
        </w:rPr>
      </w:pPr>
    </w:p>
    <w:p w14:paraId="13F1F14A" w14:textId="77777777" w:rsidR="00161F82" w:rsidRPr="00161F82" w:rsidRDefault="00161F82" w:rsidP="00161F82">
      <w:pPr>
        <w:spacing w:before="760" w:line="360" w:lineRule="auto"/>
        <w:rPr>
          <w:rFonts w:ascii="Arial" w:hAnsi="Arial" w:cs="Arial"/>
          <w:b/>
          <w:lang w:val="es-CL"/>
        </w:rPr>
      </w:pPr>
    </w:p>
    <w:p w14:paraId="646A6F30" w14:textId="4FC23F75" w:rsidR="007B7F48" w:rsidRPr="00161F82" w:rsidRDefault="00000000" w:rsidP="00161F82">
      <w:pPr>
        <w:spacing w:before="760" w:line="360" w:lineRule="auto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b/>
          <w:lang w:val="es-CL"/>
        </w:rPr>
        <w:t>Autores</w:t>
      </w:r>
    </w:p>
    <w:p w14:paraId="62387B92" w14:textId="77777777" w:rsidR="007B7F48" w:rsidRPr="00161F82" w:rsidRDefault="00000000" w:rsidP="00161F82">
      <w:pPr>
        <w:spacing w:line="360" w:lineRule="auto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Camilo González</w:t>
      </w:r>
      <w:r w:rsidRPr="00161F82">
        <w:rPr>
          <w:rFonts w:ascii="Arial" w:hAnsi="Arial" w:cs="Arial"/>
          <w:lang w:val="es-CL"/>
        </w:rPr>
        <w:br/>
        <w:t>Alexander Patiño</w:t>
      </w:r>
      <w:r w:rsidRPr="00161F82">
        <w:rPr>
          <w:rFonts w:ascii="Arial" w:hAnsi="Arial" w:cs="Arial"/>
          <w:lang w:val="es-CL"/>
        </w:rPr>
        <w:br/>
        <w:t>Samuel Solís</w:t>
      </w:r>
    </w:p>
    <w:p w14:paraId="3250C8F1" w14:textId="385ACB5D" w:rsidR="007B7F48" w:rsidRPr="00161F82" w:rsidRDefault="00000000" w:rsidP="00161F82">
      <w:pPr>
        <w:spacing w:line="360" w:lineRule="auto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Docente Álvaro Andrés Mellado Pimentel</w:t>
      </w:r>
      <w:r w:rsidRPr="00161F82">
        <w:rPr>
          <w:rFonts w:ascii="Arial" w:hAnsi="Arial" w:cs="Arial"/>
        </w:rPr>
        <w:br w:type="page"/>
      </w:r>
    </w:p>
    <w:sdt>
      <w:sdtPr>
        <w:rPr>
          <w:rFonts w:ascii="Arial" w:hAnsi="Arial" w:cs="Arial"/>
          <w:lang w:val="es-MX"/>
        </w:rPr>
        <w:id w:val="987365935"/>
        <w:docPartObj>
          <w:docPartGallery w:val="Table of Contents"/>
          <w:docPartUnique/>
        </w:docPartObj>
      </w:sdtPr>
      <w:sdtEndPr>
        <w:rPr>
          <w:rFonts w:eastAsiaTheme="minorEastAsia"/>
          <w:sz w:val="22"/>
          <w:szCs w:val="22"/>
        </w:rPr>
      </w:sdtEndPr>
      <w:sdtContent>
        <w:p w14:paraId="2AFD26A5" w14:textId="6919CA27" w:rsidR="00161F82" w:rsidRPr="00161F82" w:rsidRDefault="00161F82" w:rsidP="00161F82">
          <w:pPr>
            <w:pStyle w:val="TtuloTDC"/>
            <w:spacing w:line="360" w:lineRule="auto"/>
            <w:rPr>
              <w:rFonts w:ascii="Arial" w:hAnsi="Arial" w:cs="Arial"/>
            </w:rPr>
          </w:pPr>
          <w:r w:rsidRPr="00161F82">
            <w:rPr>
              <w:rFonts w:ascii="Arial" w:hAnsi="Arial" w:cs="Arial"/>
              <w:lang w:val="es-MX"/>
            </w:rPr>
            <w:t>Contenido</w:t>
          </w:r>
        </w:p>
        <w:p w14:paraId="75795343" w14:textId="725EE42B" w:rsidR="008D61BA" w:rsidRPr="008D61BA" w:rsidRDefault="00161F82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8D61BA">
            <w:rPr>
              <w:rFonts w:ascii="Arial" w:hAnsi="Arial" w:cs="Arial"/>
            </w:rPr>
            <w:fldChar w:fldCharType="begin"/>
          </w:r>
          <w:r w:rsidRPr="008D61BA">
            <w:rPr>
              <w:rFonts w:ascii="Arial" w:hAnsi="Arial" w:cs="Arial"/>
            </w:rPr>
            <w:instrText xml:space="preserve"> TOC \o "1-3" \h \z \u </w:instrText>
          </w:r>
          <w:r w:rsidRPr="008D61BA">
            <w:rPr>
              <w:rFonts w:ascii="Arial" w:hAnsi="Arial" w:cs="Arial"/>
            </w:rPr>
            <w:fldChar w:fldCharType="separate"/>
          </w:r>
          <w:hyperlink w:anchor="_Toc242124415" w:history="1">
            <w:r w:rsidR="008D61BA" w:rsidRPr="008D61BA">
              <w:rPr>
                <w:rStyle w:val="Hipervnculo"/>
                <w:rFonts w:ascii="Arial" w:hAnsi="Arial" w:cs="Arial"/>
                <w:noProof/>
                <w:lang w:val="es-CL"/>
              </w:rPr>
              <w:t>1. Resumen ejecutivo</w:t>
            </w:r>
            <w:r w:rsidR="008D61BA" w:rsidRPr="008D61BA">
              <w:rPr>
                <w:rFonts w:ascii="Arial" w:hAnsi="Arial" w:cs="Arial"/>
                <w:noProof/>
                <w:webHidden/>
              </w:rPr>
              <w:tab/>
            </w:r>
            <w:r w:rsidR="008D61BA"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="008D61BA" w:rsidRPr="008D61BA">
              <w:rPr>
                <w:rFonts w:ascii="Arial" w:hAnsi="Arial" w:cs="Arial"/>
                <w:noProof/>
                <w:webHidden/>
              </w:rPr>
              <w:instrText xml:space="preserve"> PAGEREF _Toc242124415 \h </w:instrText>
            </w:r>
            <w:r w:rsidR="008D61BA" w:rsidRPr="008D61BA">
              <w:rPr>
                <w:rFonts w:ascii="Arial" w:hAnsi="Arial" w:cs="Arial"/>
                <w:noProof/>
                <w:webHidden/>
              </w:rPr>
            </w:r>
            <w:r w:rsidR="008D61BA"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D61BA" w:rsidRPr="008D61BA">
              <w:rPr>
                <w:rFonts w:ascii="Arial" w:hAnsi="Arial" w:cs="Arial"/>
                <w:noProof/>
                <w:webHidden/>
              </w:rPr>
              <w:t>3</w:t>
            </w:r>
            <w:r w:rsidR="008D61BA"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7C2DB8" w14:textId="46E0CF20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16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2. Introducción y criterios de modelado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_Toc242124416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3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F2D9C4" w14:textId="20EAACEE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17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3. Diagrama de casos de uso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_Toc242124417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4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98F996" w14:textId="1720FA1D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18" w:history="1">
            <w:r w:rsidRPr="008D61BA">
              <w:rPr>
                <w:rStyle w:val="Hipervnculo"/>
                <w:rFonts w:ascii="Arial" w:hAnsi="Arial" w:cs="Arial"/>
                <w:noProof/>
              </w:rPr>
              <w:t>4. Diagrama de clases conceptuales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_Toc242124418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5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ABD0FA" w14:textId="7EC2132A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19" w:history="1">
            <w:r w:rsidRPr="008D61BA">
              <w:rPr>
                <w:rStyle w:val="Hipervnculo"/>
                <w:rFonts w:ascii="Arial" w:hAnsi="Arial" w:cs="Arial"/>
                <w:noProof/>
              </w:rPr>
              <w:t>5. Diagrama de componentes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_Toc242124419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6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7CC65D" w14:textId="497F8C7B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0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6. Diagrama de secuencia de venta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_Toc242124420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7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D29277" w14:textId="6B6494BB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1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 Escenarios detallados de uso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_Toc242124421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8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499DF2" w14:textId="0E89B8EE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2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7.1. CU01 Inicio de sesión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_Toc242124422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8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3D2806" w14:textId="0BA6460A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3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7.2. CU02 Registrar venta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_Toc242124423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8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356997" w14:textId="2D5C9175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4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7.3. CU03 Registrar venta fiada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_Toc242124424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8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207F8D" w14:textId="16D88947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5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7.4. CU04 Registrar abono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_Toc242124425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9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CA18D2" w14:textId="71B7C5CA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6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7.5. CU05 Recepcionar compra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_Toc242124426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9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26FD8A" w14:textId="56CB6A8D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7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7.6. CU06 Preparar venta con IA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_Toc242124427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9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D97B62" w14:textId="6C6AABEB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8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7.7. CU07 Preparar factura con IA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_Toc242124428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9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5F6027" w14:textId="1848FD28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29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7.8. CU08 Sincronizar venta pendiente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_Toc242124429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10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F89441" w14:textId="6E920AF0" w:rsidR="008D61BA" w:rsidRPr="008D61BA" w:rsidRDefault="008D61BA">
          <w:pPr>
            <w:pStyle w:val="TDC2"/>
            <w:tabs>
              <w:tab w:val="right" w:leader="dot" w:pos="9638"/>
            </w:tabs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30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7.9. CU09 Cerrar caja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_Toc242124430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10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5C6485" w14:textId="584DC67E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31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8. Verificación de consistencia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_Toc242124431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10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89132A" w14:textId="250AC4F4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32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9. Evidencias relacionadas con esta versión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_Toc242124432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10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B10BB8" w14:textId="103CA851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33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10. Conclusiones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_Toc242124433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11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1B8D66" w14:textId="0153A499" w:rsidR="008D61BA" w:rsidRPr="008D61BA" w:rsidRDefault="008D61BA">
          <w:pPr>
            <w:pStyle w:val="TDC1"/>
            <w:rPr>
              <w:rFonts w:ascii="Arial" w:hAnsi="Arial" w:cs="Arial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24434" w:history="1">
            <w:r w:rsidRPr="008D61BA">
              <w:rPr>
                <w:rStyle w:val="Hipervnculo"/>
                <w:rFonts w:ascii="Arial" w:hAnsi="Arial" w:cs="Arial"/>
                <w:noProof/>
                <w:lang w:val="es-CL"/>
              </w:rPr>
              <w:t>11. Referencias</w:t>
            </w:r>
            <w:r w:rsidRPr="008D61BA">
              <w:rPr>
                <w:rFonts w:ascii="Arial" w:hAnsi="Arial" w:cs="Arial"/>
                <w:noProof/>
                <w:webHidden/>
              </w:rPr>
              <w:tab/>
            </w:r>
            <w:r w:rsidRPr="008D61B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D61BA">
              <w:rPr>
                <w:rFonts w:ascii="Arial" w:hAnsi="Arial" w:cs="Arial"/>
                <w:noProof/>
                <w:webHidden/>
              </w:rPr>
              <w:instrText xml:space="preserve"> PAGEREF _Toc242124434 \h </w:instrText>
            </w:r>
            <w:r w:rsidRPr="008D61BA">
              <w:rPr>
                <w:rFonts w:ascii="Arial" w:hAnsi="Arial" w:cs="Arial"/>
                <w:noProof/>
                <w:webHidden/>
              </w:rPr>
            </w:r>
            <w:r w:rsidRPr="008D61B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D61BA">
              <w:rPr>
                <w:rFonts w:ascii="Arial" w:hAnsi="Arial" w:cs="Arial"/>
                <w:noProof/>
                <w:webHidden/>
              </w:rPr>
              <w:t>11</w:t>
            </w:r>
            <w:r w:rsidRPr="008D61B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C049CE" w14:textId="060C7021" w:rsidR="00161F82" w:rsidRPr="00161F82" w:rsidRDefault="00161F82" w:rsidP="00161F82">
          <w:pPr>
            <w:spacing w:line="360" w:lineRule="auto"/>
            <w:rPr>
              <w:rFonts w:ascii="Arial" w:hAnsi="Arial" w:cs="Arial"/>
            </w:rPr>
          </w:pPr>
          <w:r w:rsidRPr="00161F82">
            <w:rPr>
              <w:rFonts w:ascii="Arial" w:hAnsi="Arial" w:cs="Arial"/>
              <w:b/>
              <w:bCs/>
              <w:lang w:val="es-MX"/>
            </w:rPr>
            <w:fldChar w:fldCharType="end"/>
          </w:r>
        </w:p>
      </w:sdtContent>
    </w:sdt>
    <w:p w14:paraId="2F6822EF" w14:textId="77777777" w:rsidR="007B7F48" w:rsidRPr="00161F82" w:rsidRDefault="00000000" w:rsidP="00161F82">
      <w:pPr>
        <w:spacing w:line="360" w:lineRule="auto"/>
        <w:rPr>
          <w:rFonts w:ascii="Arial" w:hAnsi="Arial" w:cs="Arial"/>
        </w:rPr>
      </w:pPr>
      <w:r w:rsidRPr="00161F82">
        <w:rPr>
          <w:rFonts w:ascii="Arial" w:hAnsi="Arial" w:cs="Arial"/>
        </w:rPr>
        <w:br w:type="page"/>
      </w:r>
    </w:p>
    <w:p w14:paraId="4910EE09" w14:textId="02F2CAAA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0" w:name="h1"/>
      <w:bookmarkStart w:id="1" w:name="_Toc242124415"/>
      <w:r w:rsidRPr="00161F82">
        <w:rPr>
          <w:rFonts w:ascii="Arial" w:hAnsi="Arial" w:cs="Arial"/>
          <w:lang w:val="es-CL"/>
        </w:rPr>
        <w:lastRenderedPageBreak/>
        <w:t xml:space="preserve">1. </w:t>
      </w:r>
      <w:r w:rsidR="00000000" w:rsidRPr="00161F82">
        <w:rPr>
          <w:rFonts w:ascii="Arial" w:hAnsi="Arial" w:cs="Arial"/>
          <w:lang w:val="es-CL"/>
        </w:rPr>
        <w:t>Resumen ejecutivo</w:t>
      </w:r>
      <w:bookmarkEnd w:id="0"/>
      <w:bookmarkEnd w:id="1"/>
    </w:p>
    <w:p w14:paraId="2988A67D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Este documento contiene diagramas de casos de uso, clases conceptuales, componentes y secuencia de venta. Sus figuras se construyen a partir de actores, paquetes, </w:t>
      </w:r>
      <w:proofErr w:type="spellStart"/>
      <w:r w:rsidRPr="00161F82">
        <w:rPr>
          <w:rFonts w:ascii="Arial" w:hAnsi="Arial" w:cs="Arial"/>
          <w:lang w:val="es-CL"/>
        </w:rPr>
        <w:t>endpoints</w:t>
      </w:r>
      <w:proofErr w:type="spellEnd"/>
      <w:r w:rsidRPr="00161F82">
        <w:rPr>
          <w:rFonts w:ascii="Arial" w:hAnsi="Arial" w:cs="Arial"/>
          <w:lang w:val="es-CL"/>
        </w:rPr>
        <w:t xml:space="preserve"> y esquema de Localito. El objetivo es explicar responsabilidades y relaciones, acompañando cada diagrama con escenarios y límites de interpretación.</w:t>
      </w:r>
    </w:p>
    <w:p w14:paraId="7A67CD5E" w14:textId="50F08DD0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" w:name="h2"/>
      <w:bookmarkStart w:id="3" w:name="_Toc242124416"/>
      <w:r w:rsidRPr="00161F82">
        <w:rPr>
          <w:rFonts w:ascii="Arial" w:hAnsi="Arial" w:cs="Arial"/>
          <w:lang w:val="es-CL"/>
        </w:rPr>
        <w:t xml:space="preserve">2. </w:t>
      </w:r>
      <w:r w:rsidR="00000000" w:rsidRPr="00161F82">
        <w:rPr>
          <w:rFonts w:ascii="Arial" w:hAnsi="Arial" w:cs="Arial"/>
          <w:lang w:val="es-CL"/>
        </w:rPr>
        <w:t>Introducción y criterios de modelado</w:t>
      </w:r>
      <w:bookmarkEnd w:id="2"/>
      <w:bookmarkEnd w:id="3"/>
    </w:p>
    <w:p w14:paraId="7B3E85AF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UML ofrece notación para representar estructura y comportamiento de sistemas (</w:t>
      </w:r>
      <w:proofErr w:type="spellStart"/>
      <w:r w:rsidRPr="00161F82">
        <w:rPr>
          <w:rFonts w:ascii="Arial" w:hAnsi="Arial" w:cs="Arial"/>
          <w:lang w:val="es-CL"/>
        </w:rPr>
        <w:t>Object</w:t>
      </w:r>
      <w:proofErr w:type="spellEnd"/>
      <w:r w:rsidRPr="00161F82">
        <w:rPr>
          <w:rFonts w:ascii="Arial" w:hAnsi="Arial" w:cs="Arial"/>
          <w:lang w:val="es-CL"/>
        </w:rPr>
        <w:t xml:space="preserve"> Management Group, 2017). La selección de estos diagramas responde a preguntas concretas: quién usa la solución, qué entidades relaciona, qué componentes colaboran y qué secuencia registra una venta. No se afirma que todos los tipos </w:t>
      </w:r>
      <w:proofErr w:type="spellStart"/>
      <w:r w:rsidRPr="00161F82">
        <w:rPr>
          <w:rFonts w:ascii="Arial" w:hAnsi="Arial" w:cs="Arial"/>
          <w:lang w:val="es-CL"/>
        </w:rPr>
        <w:t>TypeScript</w:t>
      </w:r>
      <w:proofErr w:type="spellEnd"/>
      <w:r w:rsidRPr="00161F82">
        <w:rPr>
          <w:rFonts w:ascii="Arial" w:hAnsi="Arial" w:cs="Arial"/>
          <w:lang w:val="es-CL"/>
        </w:rPr>
        <w:t xml:space="preserve"> sean clases instanciadas ni que un diagrama conceptual sustituya el SQL.</w:t>
      </w:r>
    </w:p>
    <w:p w14:paraId="289B723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Los modelos deben ser consistentes con Arquitectura y Modelo de Datos. La venta utiliza POST /sales según </w:t>
      </w:r>
      <w:proofErr w:type="spellStart"/>
      <w:proofErr w:type="gramStart"/>
      <w:r w:rsidRPr="00161F82">
        <w:rPr>
          <w:rFonts w:ascii="Arial" w:hAnsi="Arial" w:cs="Arial"/>
          <w:lang w:val="es-CL"/>
        </w:rPr>
        <w:t>server</w:t>
      </w:r>
      <w:proofErr w:type="gramEnd"/>
      <w:r w:rsidRPr="00161F82">
        <w:rPr>
          <w:rFonts w:ascii="Arial" w:hAnsi="Arial" w:cs="Arial"/>
          <w:lang w:val="es-CL"/>
        </w:rPr>
        <w:t>.ts</w:t>
      </w:r>
      <w:proofErr w:type="spellEnd"/>
      <w:r w:rsidRPr="00161F82">
        <w:rPr>
          <w:rFonts w:ascii="Arial" w:hAnsi="Arial" w:cs="Arial"/>
          <w:lang w:val="es-CL"/>
        </w:rPr>
        <w:t xml:space="preserve">, aunque una fuente </w:t>
      </w:r>
      <w:proofErr w:type="spellStart"/>
      <w:r w:rsidRPr="00161F82">
        <w:rPr>
          <w:rFonts w:ascii="Arial" w:hAnsi="Arial" w:cs="Arial"/>
          <w:lang w:val="es-CL"/>
        </w:rPr>
        <w:t>PlantUML</w:t>
      </w:r>
      <w:proofErr w:type="spellEnd"/>
      <w:r w:rsidRPr="00161F82">
        <w:rPr>
          <w:rFonts w:ascii="Arial" w:hAnsi="Arial" w:cs="Arial"/>
          <w:lang w:val="es-CL"/>
        </w:rPr>
        <w:t xml:space="preserve"> anterior empleaba /ventas. Esta revisión corrige la representación y conserva la autenticación previa a la operación. La auditoría del </w:t>
      </w:r>
      <w:proofErr w:type="spellStart"/>
      <w:r w:rsidRPr="00161F82">
        <w:rPr>
          <w:rFonts w:ascii="Arial" w:hAnsi="Arial" w:cs="Arial"/>
          <w:lang w:val="es-CL"/>
        </w:rPr>
        <w:t>endpoint</w:t>
      </w:r>
      <w:proofErr w:type="spellEnd"/>
      <w:r w:rsidRPr="00161F82">
        <w:rPr>
          <w:rFonts w:ascii="Arial" w:hAnsi="Arial" w:cs="Arial"/>
          <w:lang w:val="es-CL"/>
        </w:rPr>
        <w:t xml:space="preserve"> se muestra después de persistir la venta.</w:t>
      </w:r>
    </w:p>
    <w:p w14:paraId="6E78F075" w14:textId="26038119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4" w:name="h3"/>
      <w:bookmarkStart w:id="5" w:name="_Toc242124417"/>
      <w:r w:rsidRPr="00161F82">
        <w:rPr>
          <w:rFonts w:ascii="Arial" w:hAnsi="Arial" w:cs="Arial"/>
          <w:lang w:val="es-CL"/>
        </w:rPr>
        <w:lastRenderedPageBreak/>
        <w:t xml:space="preserve">3. </w:t>
      </w:r>
      <w:r w:rsidR="00000000" w:rsidRPr="00161F82">
        <w:rPr>
          <w:rFonts w:ascii="Arial" w:hAnsi="Arial" w:cs="Arial"/>
          <w:lang w:val="es-CL"/>
        </w:rPr>
        <w:t>Diagrama de casos de uso</w:t>
      </w:r>
      <w:bookmarkEnd w:id="4"/>
      <w:bookmarkEnd w:id="5"/>
    </w:p>
    <w:p w14:paraId="30ADA1DB" w14:textId="77777777" w:rsidR="007B7F48" w:rsidRPr="00161F82" w:rsidRDefault="00000000" w:rsidP="008D61BA">
      <w:pPr>
        <w:keepNext/>
        <w:spacing w:after="120" w:line="240" w:lineRule="auto"/>
        <w:jc w:val="both"/>
        <w:rPr>
          <w:rFonts w:ascii="Arial" w:hAnsi="Arial" w:cs="Arial"/>
        </w:rPr>
      </w:pPr>
      <w:r w:rsidRPr="00161F82">
        <w:rPr>
          <w:rFonts w:ascii="Arial" w:hAnsi="Arial" w:cs="Arial"/>
          <w:noProof/>
        </w:rPr>
        <w:drawing>
          <wp:inline distT="0" distB="0" distL="0" distR="0" wp14:anchorId="6D1E9C54" wp14:editId="4A6031C9">
            <wp:extent cx="6126480" cy="4904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1106" w14:textId="77777777" w:rsidR="007B7F48" w:rsidRPr="00161F82" w:rsidRDefault="00000000" w:rsidP="00161F82">
      <w:pPr>
        <w:pStyle w:val="Descripcin"/>
        <w:spacing w:after="200"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Figura 1. Actores y capacidades principales de Localito. Elaboración del equipo a partir del código y la configuración.</w:t>
      </w:r>
    </w:p>
    <w:p w14:paraId="45C4CB13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Dueño, vendedor y administrador de plataforma tienen responsabilidades diferentes. El dueño administra y revisa; el vendedor opera según permisos; el administrador gestiona negocios y planes. La asociación muestra participación, no autoriza automáticamente todos los </w:t>
      </w:r>
      <w:proofErr w:type="spellStart"/>
      <w:r w:rsidRPr="00161F82">
        <w:rPr>
          <w:rFonts w:ascii="Arial" w:hAnsi="Arial" w:cs="Arial"/>
          <w:lang w:val="es-CL"/>
        </w:rPr>
        <w:t>endpoints</w:t>
      </w:r>
      <w:proofErr w:type="spellEnd"/>
      <w:r w:rsidRPr="00161F82">
        <w:rPr>
          <w:rFonts w:ascii="Arial" w:hAnsi="Arial" w:cs="Arial"/>
          <w:lang w:val="es-CL"/>
        </w:rPr>
        <w:t xml:space="preserve"> de una categoría. Los permisos exactos se deben comprobar contra </w:t>
      </w:r>
      <w:proofErr w:type="spellStart"/>
      <w:r w:rsidRPr="00161F82">
        <w:rPr>
          <w:rFonts w:ascii="Arial" w:hAnsi="Arial" w:cs="Arial"/>
          <w:lang w:val="es-CL"/>
        </w:rPr>
        <w:t>requireRoles</w:t>
      </w:r>
      <w:proofErr w:type="spellEnd"/>
      <w:r w:rsidRPr="00161F82">
        <w:rPr>
          <w:rFonts w:ascii="Arial" w:hAnsi="Arial" w:cs="Arial"/>
          <w:lang w:val="es-CL"/>
        </w:rPr>
        <w:t xml:space="preserve"> y casos negativos.</w:t>
      </w:r>
    </w:p>
    <w:p w14:paraId="29AF8513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Gestionar clientes y fiado agrupa varias operaciones. Deben descomponerse al probar creación, deuda, saldo y abono. La ayuda visual prepara información y no incluye ejecutar una venta de manera autónoma. Los proveedores externos actúan como servicios del backend y no como usuarios del comercio.</w:t>
      </w:r>
    </w:p>
    <w:p w14:paraId="4D90F654" w14:textId="223B83E7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</w:rPr>
      </w:pPr>
      <w:bookmarkStart w:id="6" w:name="h4"/>
      <w:bookmarkStart w:id="7" w:name="_Toc242124418"/>
      <w:r w:rsidRPr="00161F82">
        <w:rPr>
          <w:rFonts w:ascii="Arial" w:hAnsi="Arial" w:cs="Arial"/>
        </w:rPr>
        <w:lastRenderedPageBreak/>
        <w:t xml:space="preserve">4. </w:t>
      </w:r>
      <w:proofErr w:type="spellStart"/>
      <w:r w:rsidR="00000000" w:rsidRPr="00161F82">
        <w:rPr>
          <w:rFonts w:ascii="Arial" w:hAnsi="Arial" w:cs="Arial"/>
        </w:rPr>
        <w:t>Diagrama</w:t>
      </w:r>
      <w:proofErr w:type="spellEnd"/>
      <w:r w:rsidR="00000000" w:rsidRPr="00161F82">
        <w:rPr>
          <w:rFonts w:ascii="Arial" w:hAnsi="Arial" w:cs="Arial"/>
        </w:rPr>
        <w:t xml:space="preserve"> de </w:t>
      </w:r>
      <w:proofErr w:type="spellStart"/>
      <w:r w:rsidR="00000000" w:rsidRPr="00161F82">
        <w:rPr>
          <w:rFonts w:ascii="Arial" w:hAnsi="Arial" w:cs="Arial"/>
        </w:rPr>
        <w:t>clases</w:t>
      </w:r>
      <w:proofErr w:type="spellEnd"/>
      <w:r w:rsidR="00000000" w:rsidRPr="00161F82">
        <w:rPr>
          <w:rFonts w:ascii="Arial" w:hAnsi="Arial" w:cs="Arial"/>
        </w:rPr>
        <w:t xml:space="preserve"> </w:t>
      </w:r>
      <w:proofErr w:type="spellStart"/>
      <w:r w:rsidR="00000000" w:rsidRPr="00161F82">
        <w:rPr>
          <w:rFonts w:ascii="Arial" w:hAnsi="Arial" w:cs="Arial"/>
        </w:rPr>
        <w:t>conceptuales</w:t>
      </w:r>
      <w:bookmarkEnd w:id="6"/>
      <w:bookmarkEnd w:id="7"/>
      <w:proofErr w:type="spellEnd"/>
    </w:p>
    <w:p w14:paraId="4D46D8D8" w14:textId="77777777" w:rsidR="007B7F48" w:rsidRPr="00161F82" w:rsidRDefault="00000000" w:rsidP="008D61BA">
      <w:pPr>
        <w:keepNext/>
        <w:spacing w:after="120" w:line="240" w:lineRule="auto"/>
        <w:jc w:val="both"/>
        <w:rPr>
          <w:rFonts w:ascii="Arial" w:hAnsi="Arial" w:cs="Arial"/>
        </w:rPr>
      </w:pPr>
      <w:r w:rsidRPr="00161F82">
        <w:rPr>
          <w:rFonts w:ascii="Arial" w:hAnsi="Arial" w:cs="Arial"/>
          <w:noProof/>
        </w:rPr>
        <w:drawing>
          <wp:inline distT="0" distB="0" distL="0" distR="0" wp14:anchorId="6762BBD1" wp14:editId="51CC2BEC">
            <wp:extent cx="5848056" cy="5212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056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8A0" w14:textId="77777777" w:rsidR="007B7F48" w:rsidRPr="00161F82" w:rsidRDefault="00000000" w:rsidP="00161F82">
      <w:pPr>
        <w:pStyle w:val="Descripcin"/>
        <w:spacing w:after="200"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Figura 2. Entidades y cardinalidades del núcleo de ventas y fiado. Elaboración del equipo a partir del código y la configuración.</w:t>
      </w:r>
    </w:p>
    <w:p w14:paraId="542CAA0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Negocio relaciona registros de usuarios y operaciones. Venta mantiene sus detalles; Cliente relaciona cuentas fiadas; </w:t>
      </w:r>
      <w:proofErr w:type="spellStart"/>
      <w:r w:rsidRPr="00161F82">
        <w:rPr>
          <w:rFonts w:ascii="Arial" w:hAnsi="Arial" w:cs="Arial"/>
          <w:lang w:val="es-CL"/>
        </w:rPr>
        <w:t>CuentaFiado</w:t>
      </w:r>
      <w:proofErr w:type="spellEnd"/>
      <w:r w:rsidRPr="00161F82">
        <w:rPr>
          <w:rFonts w:ascii="Arial" w:hAnsi="Arial" w:cs="Arial"/>
          <w:lang w:val="es-CL"/>
        </w:rPr>
        <w:t xml:space="preserve"> relaciona abonos. Producto puede aparecer en varias líneas y movimientos. Las cardinalidades representan relaciones conceptuales uno a muchos y no significan que una venta vacía sea un resultado válido de negocio.</w:t>
      </w:r>
    </w:p>
    <w:p w14:paraId="508337C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El modelo SQL completo contiene más tablas que la figura y conserva referencias opcionales. El diccionario documenta las condiciones exactas. Este diagrama se limita a un núcleo legible para explicar el escenario principal; compra y caja se desarrollan mediante descripción y tablas en los documentos especializados.</w:t>
      </w:r>
    </w:p>
    <w:p w14:paraId="54FF2BA6" w14:textId="05771C8C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</w:rPr>
      </w:pPr>
      <w:bookmarkStart w:id="8" w:name="h5"/>
      <w:bookmarkStart w:id="9" w:name="_Toc242124419"/>
      <w:r w:rsidRPr="00161F82">
        <w:rPr>
          <w:rFonts w:ascii="Arial" w:hAnsi="Arial" w:cs="Arial"/>
        </w:rPr>
        <w:lastRenderedPageBreak/>
        <w:t xml:space="preserve">5. </w:t>
      </w:r>
      <w:proofErr w:type="spellStart"/>
      <w:r w:rsidR="00000000" w:rsidRPr="00161F82">
        <w:rPr>
          <w:rFonts w:ascii="Arial" w:hAnsi="Arial" w:cs="Arial"/>
        </w:rPr>
        <w:t>Diagrama</w:t>
      </w:r>
      <w:proofErr w:type="spellEnd"/>
      <w:r w:rsidR="00000000" w:rsidRPr="00161F82">
        <w:rPr>
          <w:rFonts w:ascii="Arial" w:hAnsi="Arial" w:cs="Arial"/>
        </w:rPr>
        <w:t xml:space="preserve"> de </w:t>
      </w:r>
      <w:proofErr w:type="spellStart"/>
      <w:r w:rsidR="00000000" w:rsidRPr="00161F82">
        <w:rPr>
          <w:rFonts w:ascii="Arial" w:hAnsi="Arial" w:cs="Arial"/>
        </w:rPr>
        <w:t>componentes</w:t>
      </w:r>
      <w:bookmarkEnd w:id="8"/>
      <w:bookmarkEnd w:id="9"/>
      <w:proofErr w:type="spellEnd"/>
    </w:p>
    <w:p w14:paraId="5C3A6A27" w14:textId="77777777" w:rsidR="007B7F48" w:rsidRPr="00161F82" w:rsidRDefault="00000000" w:rsidP="008D61BA">
      <w:pPr>
        <w:keepNext/>
        <w:spacing w:after="120" w:line="240" w:lineRule="auto"/>
        <w:jc w:val="both"/>
        <w:rPr>
          <w:rFonts w:ascii="Arial" w:hAnsi="Arial" w:cs="Arial"/>
        </w:rPr>
      </w:pPr>
      <w:r w:rsidRPr="00161F82">
        <w:rPr>
          <w:rFonts w:ascii="Arial" w:hAnsi="Arial" w:cs="Arial"/>
          <w:noProof/>
        </w:rPr>
        <w:drawing>
          <wp:inline distT="0" distB="0" distL="0" distR="0" wp14:anchorId="20BDE543" wp14:editId="3010FDBA">
            <wp:extent cx="6126480" cy="43105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4C2" w14:textId="77777777" w:rsidR="007B7F48" w:rsidRPr="00161F82" w:rsidRDefault="00000000" w:rsidP="00161F82">
      <w:pPr>
        <w:pStyle w:val="Descripcin"/>
        <w:spacing w:after="200"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Figura 3. Componentes por capa y dependencias de servicios. Elaboración del equipo a partir del código y la configuración.</w:t>
      </w:r>
    </w:p>
    <w:p w14:paraId="577FC11B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proofErr w:type="spellStart"/>
      <w:r w:rsidRPr="00161F82">
        <w:rPr>
          <w:rFonts w:ascii="Arial" w:hAnsi="Arial" w:cs="Arial"/>
          <w:lang w:val="es-CL"/>
        </w:rPr>
        <w:t>React</w:t>
      </w:r>
      <w:proofErr w:type="spellEnd"/>
      <w:r w:rsidRPr="00161F82">
        <w:rPr>
          <w:rFonts w:ascii="Arial" w:hAnsi="Arial" w:cs="Arial"/>
          <w:lang w:val="es-CL"/>
        </w:rPr>
        <w:t xml:space="preserve"> PWA invoca la API mediante HTTP JSON; la API valida identidad, reglas y persistencia. PostgreSQL conserva los datos y la visión externa se invoca desde backend. </w:t>
      </w:r>
      <w:proofErr w:type="spellStart"/>
      <w:r w:rsidRPr="00161F82">
        <w:rPr>
          <w:rFonts w:ascii="Arial" w:hAnsi="Arial" w:cs="Arial"/>
          <w:lang w:val="es-CL"/>
        </w:rPr>
        <w:t>IndexedDB</w:t>
      </w:r>
      <w:proofErr w:type="spellEnd"/>
      <w:r w:rsidRPr="00161F82">
        <w:rPr>
          <w:rFonts w:ascii="Arial" w:hAnsi="Arial" w:cs="Arial"/>
          <w:lang w:val="es-CL"/>
        </w:rPr>
        <w:t xml:space="preserve"> y </w:t>
      </w:r>
      <w:proofErr w:type="spellStart"/>
      <w:r w:rsidRPr="00161F82">
        <w:rPr>
          <w:rFonts w:ascii="Arial" w:hAnsi="Arial" w:cs="Arial"/>
          <w:lang w:val="es-CL"/>
        </w:rPr>
        <w:t>localStorage</w:t>
      </w:r>
      <w:proofErr w:type="spellEnd"/>
      <w:r w:rsidRPr="00161F82">
        <w:rPr>
          <w:rFonts w:ascii="Arial" w:hAnsi="Arial" w:cs="Arial"/>
          <w:lang w:val="es-CL"/>
        </w:rPr>
        <w:t xml:space="preserve"> corresponden a usos locales acotados. No existe dependencia inversa de PostgreSQL hacia componentes </w:t>
      </w:r>
      <w:proofErr w:type="spellStart"/>
      <w:r w:rsidRPr="00161F82">
        <w:rPr>
          <w:rFonts w:ascii="Arial" w:hAnsi="Arial" w:cs="Arial"/>
          <w:lang w:val="es-CL"/>
        </w:rPr>
        <w:t>React</w:t>
      </w:r>
      <w:proofErr w:type="spellEnd"/>
      <w:r w:rsidRPr="00161F82">
        <w:rPr>
          <w:rFonts w:ascii="Arial" w:hAnsi="Arial" w:cs="Arial"/>
          <w:lang w:val="es-CL"/>
        </w:rPr>
        <w:t>.</w:t>
      </w:r>
    </w:p>
    <w:p w14:paraId="5B1FFF59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El paquete </w:t>
      </w:r>
      <w:proofErr w:type="spellStart"/>
      <w:r w:rsidRPr="00161F82">
        <w:rPr>
          <w:rFonts w:ascii="Arial" w:hAnsi="Arial" w:cs="Arial"/>
          <w:lang w:val="es-CL"/>
        </w:rPr>
        <w:t>shared</w:t>
      </w:r>
      <w:proofErr w:type="spellEnd"/>
      <w:r w:rsidRPr="00161F82">
        <w:rPr>
          <w:rFonts w:ascii="Arial" w:hAnsi="Arial" w:cs="Arial"/>
          <w:lang w:val="es-CL"/>
        </w:rPr>
        <w:t xml:space="preserve"> se utiliza en construcción y tipos, no es una API desplegada. La vista de desarrollo de Arquitectura muestra esa relación. El despliegue </w:t>
      </w:r>
      <w:proofErr w:type="spellStart"/>
      <w:r w:rsidRPr="00161F82">
        <w:rPr>
          <w:rFonts w:ascii="Arial" w:hAnsi="Arial" w:cs="Arial"/>
          <w:lang w:val="es-CL"/>
        </w:rPr>
        <w:t>serverless</w:t>
      </w:r>
      <w:proofErr w:type="spellEnd"/>
      <w:r w:rsidRPr="00161F82">
        <w:rPr>
          <w:rFonts w:ascii="Arial" w:hAnsi="Arial" w:cs="Arial"/>
          <w:lang w:val="es-CL"/>
        </w:rPr>
        <w:t xml:space="preserve"> no convierte módulos internos en microservicios independientes.</w:t>
      </w:r>
    </w:p>
    <w:p w14:paraId="7593F1AA" w14:textId="021FF02A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0" w:name="h6"/>
      <w:bookmarkStart w:id="11" w:name="_Toc242124420"/>
      <w:r w:rsidRPr="00161F82">
        <w:rPr>
          <w:rFonts w:ascii="Arial" w:hAnsi="Arial" w:cs="Arial"/>
          <w:lang w:val="es-CL"/>
        </w:rPr>
        <w:lastRenderedPageBreak/>
        <w:t xml:space="preserve">6. </w:t>
      </w:r>
      <w:r w:rsidR="00000000" w:rsidRPr="00161F82">
        <w:rPr>
          <w:rFonts w:ascii="Arial" w:hAnsi="Arial" w:cs="Arial"/>
          <w:lang w:val="es-CL"/>
        </w:rPr>
        <w:t>Diagrama de secuencia de venta</w:t>
      </w:r>
      <w:bookmarkEnd w:id="10"/>
      <w:bookmarkEnd w:id="11"/>
    </w:p>
    <w:p w14:paraId="47AAFC05" w14:textId="77777777" w:rsidR="007B7F48" w:rsidRPr="00161F82" w:rsidRDefault="00000000" w:rsidP="008D61BA">
      <w:pPr>
        <w:keepNext/>
        <w:spacing w:after="120" w:line="240" w:lineRule="auto"/>
        <w:jc w:val="both"/>
        <w:rPr>
          <w:rFonts w:ascii="Arial" w:hAnsi="Arial" w:cs="Arial"/>
        </w:rPr>
      </w:pPr>
      <w:r w:rsidRPr="00161F82">
        <w:rPr>
          <w:rFonts w:ascii="Arial" w:hAnsi="Arial" w:cs="Arial"/>
          <w:noProof/>
        </w:rPr>
        <w:drawing>
          <wp:inline distT="0" distB="0" distL="0" distR="0" wp14:anchorId="16E29FDD" wp14:editId="0F1BAC37">
            <wp:extent cx="6126480" cy="49042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3000" w14:textId="77777777" w:rsidR="007B7F48" w:rsidRPr="00161F82" w:rsidRDefault="00000000" w:rsidP="00161F82">
      <w:pPr>
        <w:pStyle w:val="Descripcin"/>
        <w:spacing w:after="200"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Figura 4. Secuencia y límites transaccionales de una venta. Elaboración del equipo a partir del código y la configuración.</w:t>
      </w:r>
    </w:p>
    <w:p w14:paraId="7AA51DDA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El usuario confirma, la PWA envía la clave y el servidor valida sesión y negocio. El repositorio inicia transacción, consulta precios y stock bloqueando filas y persiste la operación. El </w:t>
      </w:r>
      <w:proofErr w:type="spellStart"/>
      <w:r w:rsidRPr="00161F82">
        <w:rPr>
          <w:rFonts w:ascii="Arial" w:hAnsi="Arial" w:cs="Arial"/>
          <w:lang w:val="es-CL"/>
        </w:rPr>
        <w:t>commit</w:t>
      </w:r>
      <w:proofErr w:type="spellEnd"/>
      <w:r w:rsidRPr="00161F82">
        <w:rPr>
          <w:rFonts w:ascii="Arial" w:hAnsi="Arial" w:cs="Arial"/>
          <w:lang w:val="es-CL"/>
        </w:rPr>
        <w:t xml:space="preserve"> confirma la venta; el </w:t>
      </w:r>
      <w:proofErr w:type="spellStart"/>
      <w:r w:rsidRPr="00161F82">
        <w:rPr>
          <w:rFonts w:ascii="Arial" w:hAnsi="Arial" w:cs="Arial"/>
          <w:lang w:val="es-CL"/>
        </w:rPr>
        <w:t>endpoint</w:t>
      </w:r>
      <w:proofErr w:type="spellEnd"/>
      <w:r w:rsidRPr="00161F82">
        <w:rPr>
          <w:rFonts w:ascii="Arial" w:hAnsi="Arial" w:cs="Arial"/>
          <w:lang w:val="es-CL"/>
        </w:rPr>
        <w:t xml:space="preserve"> registra auditoría por separado y responde. Si se produce un error, la recuperación debe verificar si la venta quedó confirmada antes de generar otro intento.</w:t>
      </w:r>
    </w:p>
    <w:p w14:paraId="2B773AB1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La figura muestra el caso satisfactorio y deja los alternativos descritos abajo. No agrega una invocación real a Webpay, Mercado Pago o SII. La caja relaciona operaciones y turnos según sus métodos; no se dibuja una actualización universal de cada tabla dentro de </w:t>
      </w:r>
      <w:proofErr w:type="spellStart"/>
      <w:r w:rsidRPr="00161F82">
        <w:rPr>
          <w:rFonts w:ascii="Arial" w:hAnsi="Arial" w:cs="Arial"/>
          <w:lang w:val="es-CL"/>
        </w:rPr>
        <w:t>createSaleWithClient</w:t>
      </w:r>
      <w:proofErr w:type="spellEnd"/>
      <w:r w:rsidRPr="00161F82">
        <w:rPr>
          <w:rFonts w:ascii="Arial" w:hAnsi="Arial" w:cs="Arial"/>
          <w:lang w:val="es-CL"/>
        </w:rPr>
        <w:t xml:space="preserve"> cuando el código no la realiza.</w:t>
      </w:r>
    </w:p>
    <w:p w14:paraId="181373F1" w14:textId="625184E8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2" w:name="h7"/>
      <w:bookmarkStart w:id="13" w:name="_Toc242124421"/>
      <w:r w:rsidRPr="00161F82">
        <w:rPr>
          <w:rFonts w:ascii="Arial" w:hAnsi="Arial" w:cs="Arial"/>
          <w:lang w:val="es-CL"/>
        </w:rPr>
        <w:lastRenderedPageBreak/>
        <w:t xml:space="preserve">7. </w:t>
      </w:r>
      <w:r w:rsidR="00000000" w:rsidRPr="00161F82">
        <w:rPr>
          <w:rFonts w:ascii="Arial" w:hAnsi="Arial" w:cs="Arial"/>
          <w:lang w:val="es-CL"/>
        </w:rPr>
        <w:t>Escenarios detallados de uso</w:t>
      </w:r>
      <w:bookmarkEnd w:id="12"/>
      <w:bookmarkEnd w:id="13"/>
    </w:p>
    <w:p w14:paraId="3D539DA6" w14:textId="48DC2CB1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4" w:name="h8"/>
      <w:bookmarkStart w:id="15" w:name="_Toc242124422"/>
      <w:r w:rsidRPr="00161F82">
        <w:rPr>
          <w:rFonts w:ascii="Arial" w:hAnsi="Arial" w:cs="Arial"/>
          <w:lang w:val="es-CL"/>
        </w:rPr>
        <w:t xml:space="preserve">7.1. </w:t>
      </w:r>
      <w:r w:rsidR="00000000" w:rsidRPr="00161F82">
        <w:rPr>
          <w:rFonts w:ascii="Arial" w:hAnsi="Arial" w:cs="Arial"/>
          <w:lang w:val="es-CL"/>
        </w:rPr>
        <w:t>CU01 Inicio de sesión</w:t>
      </w:r>
      <w:bookmarkEnd w:id="14"/>
      <w:bookmarkEnd w:id="15"/>
    </w:p>
    <w:p w14:paraId="4BD3AC8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Dueño o vendedor.</w:t>
      </w:r>
    </w:p>
    <w:p w14:paraId="128E1B2C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Cuenta de prueba registrada y backend accesible.</w:t>
      </w:r>
    </w:p>
    <w:p w14:paraId="70B52AF1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Ingresar credenciales; API verifica contraseña; crea sesión; cliente recibe contexto.</w:t>
      </w:r>
    </w:p>
    <w:p w14:paraId="713D5616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Credencial incorrecta o sesión ausente impide operaciones; no mostrar hash al usuario.</w:t>
      </w:r>
    </w:p>
    <w:p w14:paraId="591C719E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Sesión y acceso al negocio permitido. La existencia del modelo no acredita ejecución del caso. Se relaciona con el catálogo de pruebas y con el requisito funcional correspondiente.</w:t>
      </w:r>
    </w:p>
    <w:p w14:paraId="333F9C55" w14:textId="3CFEB843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6" w:name="h9"/>
      <w:bookmarkStart w:id="17" w:name="_Toc242124423"/>
      <w:r w:rsidRPr="00161F82">
        <w:rPr>
          <w:rFonts w:ascii="Arial" w:hAnsi="Arial" w:cs="Arial"/>
          <w:lang w:val="es-CL"/>
        </w:rPr>
        <w:t xml:space="preserve">7.2. </w:t>
      </w:r>
      <w:r w:rsidR="00000000" w:rsidRPr="00161F82">
        <w:rPr>
          <w:rFonts w:ascii="Arial" w:hAnsi="Arial" w:cs="Arial"/>
          <w:lang w:val="es-CL"/>
        </w:rPr>
        <w:t>CU02 Registrar venta</w:t>
      </w:r>
      <w:bookmarkEnd w:id="16"/>
      <w:bookmarkEnd w:id="17"/>
    </w:p>
    <w:p w14:paraId="2A5D2BDE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Vendedor.</w:t>
      </w:r>
    </w:p>
    <w:p w14:paraId="5368A5F6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Catálogo, productos activos y cuenta autorizada.</w:t>
      </w:r>
    </w:p>
    <w:p w14:paraId="70B39EB0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Flujo principal. Agregar líneas; revisar </w:t>
      </w:r>
      <w:proofErr w:type="gramStart"/>
      <w:r w:rsidRPr="00161F82">
        <w:rPr>
          <w:rFonts w:ascii="Arial" w:hAnsi="Arial" w:cs="Arial"/>
          <w:lang w:val="es-CL"/>
        </w:rPr>
        <w:t>ticket</w:t>
      </w:r>
      <w:proofErr w:type="gramEnd"/>
      <w:r w:rsidRPr="00161F82">
        <w:rPr>
          <w:rFonts w:ascii="Arial" w:hAnsi="Arial" w:cs="Arial"/>
          <w:lang w:val="es-CL"/>
        </w:rPr>
        <w:t>; elegir pago; enviar POST /sales; verificar persistencia.</w:t>
      </w:r>
    </w:p>
    <w:p w14:paraId="35DBBB5A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Stock insuficiente o pagos incoherentes deben rechazar sin efecto parcial.</w:t>
      </w:r>
    </w:p>
    <w:p w14:paraId="49AF3773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Venta y stock consistentes. Se relaciona con el catálogo de pruebas y con el requisito funcional correspondiente.</w:t>
      </w:r>
    </w:p>
    <w:p w14:paraId="61EF02C1" w14:textId="11037FC7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8" w:name="h10"/>
      <w:bookmarkStart w:id="19" w:name="_Toc242124424"/>
      <w:r w:rsidRPr="00161F82">
        <w:rPr>
          <w:rFonts w:ascii="Arial" w:hAnsi="Arial" w:cs="Arial"/>
          <w:lang w:val="es-CL"/>
        </w:rPr>
        <w:t xml:space="preserve">7.3. </w:t>
      </w:r>
      <w:r w:rsidR="00000000" w:rsidRPr="00161F82">
        <w:rPr>
          <w:rFonts w:ascii="Arial" w:hAnsi="Arial" w:cs="Arial"/>
          <w:lang w:val="es-CL"/>
        </w:rPr>
        <w:t>CU03 Registrar venta fiada</w:t>
      </w:r>
      <w:bookmarkEnd w:id="18"/>
      <w:bookmarkEnd w:id="19"/>
    </w:p>
    <w:p w14:paraId="294986FF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Vendedor según permisos.</w:t>
      </w:r>
    </w:p>
    <w:p w14:paraId="04CCB929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Cliente activo y condición de crédito válida.</w:t>
      </w:r>
    </w:p>
    <w:p w14:paraId="3CE8092D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Elegir cliente; preparar venta; seleccionar crédito o parte fiada; confirmar.</w:t>
      </w:r>
    </w:p>
    <w:p w14:paraId="2CB4CE6D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Cliente bloqueado, límite excedido o cliente ajeno se rechaza.</w:t>
      </w:r>
    </w:p>
    <w:p w14:paraId="2F600596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Cuenta de deuda relacionada a la operación. Se relaciona con el catálogo de pruebas y con el requisito funcional correspondiente.</w:t>
      </w:r>
    </w:p>
    <w:p w14:paraId="51E01CF5" w14:textId="77777777" w:rsidR="008D61BA" w:rsidRPr="008D61BA" w:rsidRDefault="008D61BA" w:rsidP="008D61BA">
      <w:bookmarkStart w:id="20" w:name="h11"/>
      <w:r w:rsidRPr="008D61BA">
        <w:br w:type="page"/>
      </w:r>
    </w:p>
    <w:p w14:paraId="11C32B1B" w14:textId="2C83A866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21" w:name="_Toc242124425"/>
      <w:r w:rsidRPr="00161F82">
        <w:rPr>
          <w:rFonts w:ascii="Arial" w:hAnsi="Arial" w:cs="Arial"/>
          <w:lang w:val="es-CL"/>
        </w:rPr>
        <w:lastRenderedPageBreak/>
        <w:t xml:space="preserve">7.4. </w:t>
      </w:r>
      <w:r w:rsidR="00000000" w:rsidRPr="00161F82">
        <w:rPr>
          <w:rFonts w:ascii="Arial" w:hAnsi="Arial" w:cs="Arial"/>
          <w:lang w:val="es-CL"/>
        </w:rPr>
        <w:t>CU04 Registrar abono</w:t>
      </w:r>
      <w:bookmarkEnd w:id="20"/>
      <w:bookmarkEnd w:id="21"/>
    </w:p>
    <w:p w14:paraId="07595599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Usuario autorizado.</w:t>
      </w:r>
    </w:p>
    <w:p w14:paraId="09357732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Cuenta pendiente del negocio.</w:t>
      </w:r>
    </w:p>
    <w:p w14:paraId="632A7DDF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Consultar saldo; ingresar monto y método; enviar abono; revisar saldo.</w:t>
      </w:r>
    </w:p>
    <w:p w14:paraId="702BC381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Monto inválido o cuenta ajena no produce un abono.</w:t>
      </w:r>
    </w:p>
    <w:p w14:paraId="59F8107E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Saldo y pago conservados. Se relaciona con el catálogo de pruebas y con el requisito funcional correspondiente.</w:t>
      </w:r>
    </w:p>
    <w:p w14:paraId="1C9D8984" w14:textId="263C077B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22" w:name="h12"/>
      <w:bookmarkStart w:id="23" w:name="_Toc242124426"/>
      <w:r w:rsidRPr="00161F82">
        <w:rPr>
          <w:rFonts w:ascii="Arial" w:hAnsi="Arial" w:cs="Arial"/>
          <w:lang w:val="es-CL"/>
        </w:rPr>
        <w:t xml:space="preserve">7.5. </w:t>
      </w:r>
      <w:r w:rsidR="00000000" w:rsidRPr="00161F82">
        <w:rPr>
          <w:rFonts w:ascii="Arial" w:hAnsi="Arial" w:cs="Arial"/>
          <w:lang w:val="es-CL"/>
        </w:rPr>
        <w:t xml:space="preserve">CU05 </w:t>
      </w:r>
      <w:proofErr w:type="spellStart"/>
      <w:r w:rsidR="00000000" w:rsidRPr="00161F82">
        <w:rPr>
          <w:rFonts w:ascii="Arial" w:hAnsi="Arial" w:cs="Arial"/>
          <w:lang w:val="es-CL"/>
        </w:rPr>
        <w:t>Recepcionar</w:t>
      </w:r>
      <w:proofErr w:type="spellEnd"/>
      <w:r w:rsidR="00000000" w:rsidRPr="00161F82">
        <w:rPr>
          <w:rFonts w:ascii="Arial" w:hAnsi="Arial" w:cs="Arial"/>
          <w:lang w:val="es-CL"/>
        </w:rPr>
        <w:t xml:space="preserve"> compra</w:t>
      </w:r>
      <w:bookmarkEnd w:id="22"/>
      <w:bookmarkEnd w:id="23"/>
    </w:p>
    <w:p w14:paraId="62B15B5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Dueño.</w:t>
      </w:r>
    </w:p>
    <w:p w14:paraId="49097F3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Proveedor y orden del negocio.</w:t>
      </w:r>
    </w:p>
    <w:p w14:paraId="0C61D7FE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Consultar pendientes; ingresar cantidades; validar; confirmar recepción.</w:t>
      </w:r>
    </w:p>
    <w:p w14:paraId="20A7E68B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Cantidad no autorizada o producto ajeno se rechaza.</w:t>
      </w:r>
    </w:p>
    <w:p w14:paraId="64442FF8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Recepción y stock correspondientes. Se relaciona con el catálogo de pruebas y con el requisito funcional correspondiente.</w:t>
      </w:r>
    </w:p>
    <w:p w14:paraId="26F13641" w14:textId="5CAB001A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24" w:name="h13"/>
      <w:bookmarkStart w:id="25" w:name="_Toc242124427"/>
      <w:r w:rsidRPr="00161F82">
        <w:rPr>
          <w:rFonts w:ascii="Arial" w:hAnsi="Arial" w:cs="Arial"/>
          <w:lang w:val="es-CL"/>
        </w:rPr>
        <w:t xml:space="preserve">7.6. </w:t>
      </w:r>
      <w:r w:rsidR="00000000" w:rsidRPr="00161F82">
        <w:rPr>
          <w:rFonts w:ascii="Arial" w:hAnsi="Arial" w:cs="Arial"/>
          <w:lang w:val="es-CL"/>
        </w:rPr>
        <w:t>CU06 Preparar venta con IA</w:t>
      </w:r>
      <w:bookmarkEnd w:id="24"/>
      <w:bookmarkEnd w:id="25"/>
    </w:p>
    <w:p w14:paraId="0EBB2A71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Vendedor.</w:t>
      </w:r>
    </w:p>
    <w:p w14:paraId="3D57E7D3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Catálogo y proveedor configurados con conectividad.</w:t>
      </w:r>
    </w:p>
    <w:p w14:paraId="70655B06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Flujo principal. Tomar imagen; API propone; revisar productos y cantidades; incorporar al </w:t>
      </w:r>
      <w:proofErr w:type="gramStart"/>
      <w:r w:rsidRPr="00161F82">
        <w:rPr>
          <w:rFonts w:ascii="Arial" w:hAnsi="Arial" w:cs="Arial"/>
          <w:lang w:val="es-CL"/>
        </w:rPr>
        <w:t>ticket</w:t>
      </w:r>
      <w:proofErr w:type="gramEnd"/>
      <w:r w:rsidRPr="00161F82">
        <w:rPr>
          <w:rFonts w:ascii="Arial" w:hAnsi="Arial" w:cs="Arial"/>
          <w:lang w:val="es-CL"/>
        </w:rPr>
        <w:t>.</w:t>
      </w:r>
    </w:p>
    <w:p w14:paraId="7B61D90E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Proveedor falla o producto ambiguo requiere búsqueda manual.</w:t>
      </w:r>
    </w:p>
    <w:p w14:paraId="73D0F33B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Propuesta revisada sin venta automática. Se relaciona con el catálogo de pruebas y con el requisito funcional correspondiente.</w:t>
      </w:r>
    </w:p>
    <w:p w14:paraId="32101618" w14:textId="3F6F132F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26" w:name="h14"/>
      <w:bookmarkStart w:id="27" w:name="_Toc242124428"/>
      <w:r w:rsidRPr="00161F82">
        <w:rPr>
          <w:rFonts w:ascii="Arial" w:hAnsi="Arial" w:cs="Arial"/>
          <w:lang w:val="es-CL"/>
        </w:rPr>
        <w:t xml:space="preserve">7.7. </w:t>
      </w:r>
      <w:r w:rsidR="00000000" w:rsidRPr="00161F82">
        <w:rPr>
          <w:rFonts w:ascii="Arial" w:hAnsi="Arial" w:cs="Arial"/>
          <w:lang w:val="es-CL"/>
        </w:rPr>
        <w:t>CU07 Preparar factura con IA</w:t>
      </w:r>
      <w:bookmarkEnd w:id="26"/>
      <w:bookmarkEnd w:id="27"/>
    </w:p>
    <w:p w14:paraId="2E2C73B5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Dueño.</w:t>
      </w:r>
    </w:p>
    <w:p w14:paraId="7A5FAA30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Imagen de prueba y proveedor remoto configurado.</w:t>
      </w:r>
    </w:p>
    <w:p w14:paraId="4310DF8F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Capturar; obtener líneas; revisar costo y cantidades; confirmar por flujo de importación.</w:t>
      </w:r>
    </w:p>
    <w:p w14:paraId="795D4EFB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lastRenderedPageBreak/>
        <w:t>Alternativas. Respuesta inválida conserva estado sin recepción automática.</w:t>
      </w:r>
    </w:p>
    <w:p w14:paraId="0BABF1D1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Datos revisados para operación de mercadería. Se relaciona con el catálogo de pruebas y con el requisito funcional correspondiente.</w:t>
      </w:r>
    </w:p>
    <w:p w14:paraId="5E689180" w14:textId="7C83F1E5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28" w:name="h15"/>
      <w:bookmarkStart w:id="29" w:name="_Toc242124429"/>
      <w:r w:rsidRPr="00161F82">
        <w:rPr>
          <w:rFonts w:ascii="Arial" w:hAnsi="Arial" w:cs="Arial"/>
          <w:lang w:val="es-CL"/>
        </w:rPr>
        <w:t xml:space="preserve">7.8. </w:t>
      </w:r>
      <w:r w:rsidR="00000000" w:rsidRPr="00161F82">
        <w:rPr>
          <w:rFonts w:ascii="Arial" w:hAnsi="Arial" w:cs="Arial"/>
          <w:lang w:val="es-CL"/>
        </w:rPr>
        <w:t>CU08 Sincronizar venta pendiente</w:t>
      </w:r>
      <w:bookmarkEnd w:id="28"/>
      <w:bookmarkEnd w:id="29"/>
    </w:p>
    <w:p w14:paraId="6CA2CCA4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Vendedor.</w:t>
      </w:r>
    </w:p>
    <w:p w14:paraId="3C91940F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Cola de la cuenta actual y clave original.</w:t>
      </w:r>
    </w:p>
    <w:p w14:paraId="37E9CD41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Restaurar red; enviar pendiente; comprobar venta; retirar entrada aceptada.</w:t>
      </w:r>
    </w:p>
    <w:p w14:paraId="1F740D3C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Rechazo permanente se conserva; cambio de sesión detiene envío.</w:t>
      </w:r>
    </w:p>
    <w:p w14:paraId="422C6960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Cola y estado del servidor coherentes. Se relaciona con el catálogo de pruebas y con el requisito funcional correspondiente.</w:t>
      </w:r>
    </w:p>
    <w:p w14:paraId="3CD352A7" w14:textId="20B31051" w:rsidR="007B7F48" w:rsidRPr="00161F82" w:rsidRDefault="00161F82" w:rsidP="00161F82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30" w:name="h16"/>
      <w:bookmarkStart w:id="31" w:name="_Toc242124430"/>
      <w:r w:rsidRPr="00161F82">
        <w:rPr>
          <w:rFonts w:ascii="Arial" w:hAnsi="Arial" w:cs="Arial"/>
          <w:lang w:val="es-CL"/>
        </w:rPr>
        <w:t xml:space="preserve">7.9. </w:t>
      </w:r>
      <w:r w:rsidR="00000000" w:rsidRPr="00161F82">
        <w:rPr>
          <w:rFonts w:ascii="Arial" w:hAnsi="Arial" w:cs="Arial"/>
          <w:lang w:val="es-CL"/>
        </w:rPr>
        <w:t>CU09 Cerrar caja</w:t>
      </w:r>
      <w:bookmarkEnd w:id="30"/>
      <w:bookmarkEnd w:id="31"/>
    </w:p>
    <w:p w14:paraId="1216B526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Actor. Usuario autorizado.</w:t>
      </w:r>
    </w:p>
    <w:p w14:paraId="0C303C8A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Precondición. Sesión abierta y pendientes revisados.</w:t>
      </w:r>
    </w:p>
    <w:p w14:paraId="318F236B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Flujo principal. Consultar esperado; contar efectivo; registrar diferencia y motivo; confirmar.</w:t>
      </w:r>
    </w:p>
    <w:p w14:paraId="5B4E9CEE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Alternativas. Falta de motivo cuando hay diferencia o pendientes requiere resolución.</w:t>
      </w:r>
    </w:p>
    <w:p w14:paraId="71E7473A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Resultado a comprobar. Sesión cerrada con valores auditables. Se relaciona con el catálogo de pruebas y con el requisito funcional correspondiente.</w:t>
      </w:r>
    </w:p>
    <w:p w14:paraId="50A46412" w14:textId="5858E03C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2" w:name="h17"/>
      <w:bookmarkStart w:id="33" w:name="_Toc242124431"/>
      <w:r w:rsidRPr="00161F82">
        <w:rPr>
          <w:rFonts w:ascii="Arial" w:hAnsi="Arial" w:cs="Arial"/>
          <w:lang w:val="es-CL"/>
        </w:rPr>
        <w:t xml:space="preserve">8. </w:t>
      </w:r>
      <w:r w:rsidR="00000000" w:rsidRPr="00161F82">
        <w:rPr>
          <w:rFonts w:ascii="Arial" w:hAnsi="Arial" w:cs="Arial"/>
          <w:lang w:val="es-CL"/>
        </w:rPr>
        <w:t>Verificación de consistencia</w:t>
      </w:r>
      <w:bookmarkEnd w:id="32"/>
      <w:bookmarkEnd w:id="33"/>
    </w:p>
    <w:p w14:paraId="4D9FE4E0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Se revisó que los actores correspondan a los roles, que los componentes correspondan a carpetas y servicios y que la secuencia use el </w:t>
      </w:r>
      <w:proofErr w:type="spellStart"/>
      <w:r w:rsidRPr="00161F82">
        <w:rPr>
          <w:rFonts w:ascii="Arial" w:hAnsi="Arial" w:cs="Arial"/>
          <w:lang w:val="es-CL"/>
        </w:rPr>
        <w:t>endpoint</w:t>
      </w:r>
      <w:proofErr w:type="spellEnd"/>
      <w:r w:rsidRPr="00161F82">
        <w:rPr>
          <w:rFonts w:ascii="Arial" w:hAnsi="Arial" w:cs="Arial"/>
          <w:lang w:val="es-CL"/>
        </w:rPr>
        <w:t xml:space="preserve"> y las reglas reales. Las figuras son elaboración propia. La validación operacional necesita ejecutar los casos y observar datos; la revisión del diagrama no sustituye esas pruebas.</w:t>
      </w:r>
    </w:p>
    <w:p w14:paraId="0A1C3327" w14:textId="1AD6117B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4" w:name="h18"/>
      <w:bookmarkStart w:id="35" w:name="_Toc242124432"/>
      <w:r w:rsidRPr="00161F82">
        <w:rPr>
          <w:rFonts w:ascii="Arial" w:hAnsi="Arial" w:cs="Arial"/>
          <w:lang w:val="es-CL"/>
        </w:rPr>
        <w:t xml:space="preserve">9. </w:t>
      </w:r>
      <w:r w:rsidR="00000000" w:rsidRPr="00161F82">
        <w:rPr>
          <w:rFonts w:ascii="Arial" w:hAnsi="Arial" w:cs="Arial"/>
          <w:lang w:val="es-CL"/>
        </w:rPr>
        <w:t>Evidencias relacionadas con esta versión</w:t>
      </w:r>
      <w:bookmarkEnd w:id="34"/>
      <w:bookmarkEnd w:id="35"/>
    </w:p>
    <w:p w14:paraId="76E32779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 xml:space="preserve"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</w:t>
      </w:r>
      <w:r w:rsidRPr="00161F82">
        <w:rPr>
          <w:rFonts w:ascii="Arial" w:hAnsi="Arial" w:cs="Arial"/>
          <w:lang w:val="es-CL"/>
        </w:rPr>
        <w:lastRenderedPageBreak/>
        <w:t>aceptación en PostgreSQL y con usuarios. Control de Entrega reúne la cobertura de los 17 artefactos y los pendientes de cierre.</w:t>
      </w:r>
    </w:p>
    <w:p w14:paraId="036E31AA" w14:textId="75DE7FC5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6" w:name="h19"/>
      <w:bookmarkStart w:id="37" w:name="_Toc242124433"/>
      <w:r w:rsidRPr="00161F82">
        <w:rPr>
          <w:rFonts w:ascii="Arial" w:hAnsi="Arial" w:cs="Arial"/>
          <w:lang w:val="es-CL"/>
        </w:rPr>
        <w:t xml:space="preserve">10. </w:t>
      </w:r>
      <w:r w:rsidR="00000000" w:rsidRPr="00161F82">
        <w:rPr>
          <w:rFonts w:ascii="Arial" w:hAnsi="Arial" w:cs="Arial"/>
          <w:lang w:val="es-CL"/>
        </w:rPr>
        <w:t>Conclusiones</w:t>
      </w:r>
      <w:bookmarkEnd w:id="36"/>
      <w:bookmarkEnd w:id="37"/>
    </w:p>
    <w:p w14:paraId="3573FF08" w14:textId="77777777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Los diagramas complementan las explicaciones de arquitectura y requisitos con representaciones legibles. Su aporte se sostiene en el vínculo con entidades, módulos y operaciones reales, manteniendo explícito el alcance conceptual y el estado de verificación.</w:t>
      </w:r>
    </w:p>
    <w:p w14:paraId="2ED33F15" w14:textId="25E09D45" w:rsidR="007B7F48" w:rsidRPr="00161F82" w:rsidRDefault="00161F82" w:rsidP="00161F82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8" w:name="h20"/>
      <w:bookmarkStart w:id="39" w:name="_Toc242124434"/>
      <w:r w:rsidRPr="00161F82">
        <w:rPr>
          <w:rFonts w:ascii="Arial" w:hAnsi="Arial" w:cs="Arial"/>
          <w:lang w:val="es-CL"/>
        </w:rPr>
        <w:t xml:space="preserve">11. </w:t>
      </w:r>
      <w:r w:rsidR="00000000" w:rsidRPr="00161F82">
        <w:rPr>
          <w:rFonts w:ascii="Arial" w:hAnsi="Arial" w:cs="Arial"/>
          <w:lang w:val="es-CL"/>
        </w:rPr>
        <w:t>Referencias</w:t>
      </w:r>
      <w:bookmarkEnd w:id="38"/>
      <w:bookmarkEnd w:id="39"/>
    </w:p>
    <w:p w14:paraId="7927DE45" w14:textId="128CEBFC" w:rsidR="007B7F48" w:rsidRPr="00161F82" w:rsidRDefault="00000000" w:rsidP="00161F82">
      <w:pPr>
        <w:spacing w:line="360" w:lineRule="auto"/>
        <w:jc w:val="both"/>
        <w:rPr>
          <w:rFonts w:ascii="Arial" w:hAnsi="Arial" w:cs="Arial"/>
          <w:lang w:val="es-CL"/>
        </w:rPr>
      </w:pPr>
      <w:r w:rsidRPr="00161F82">
        <w:rPr>
          <w:rFonts w:ascii="Arial" w:hAnsi="Arial" w:cs="Arial"/>
          <w:lang w:val="es-CL"/>
        </w:rPr>
        <w:t>Las normas se consultaron mediante sus resúmenes públicos; no se declara certificación. Las fuentes web fueron consultadas durante esta revisión, del 03 al 04 de octubre de 2026.</w:t>
      </w:r>
    </w:p>
    <w:p w14:paraId="1878CB5E" w14:textId="77777777" w:rsidR="007B7F48" w:rsidRPr="00161F82" w:rsidRDefault="00000000" w:rsidP="008D61BA">
      <w:pPr>
        <w:keepLines/>
        <w:spacing w:line="360" w:lineRule="auto"/>
        <w:ind w:left="432" w:hanging="432"/>
        <w:rPr>
          <w:rFonts w:ascii="Arial" w:hAnsi="Arial" w:cs="Arial"/>
        </w:rPr>
      </w:pPr>
      <w:r w:rsidRPr="00161F82">
        <w:rPr>
          <w:rFonts w:ascii="Arial" w:hAnsi="Arial" w:cs="Arial"/>
        </w:rPr>
        <w:t xml:space="preserve">Object Management Group (2017). </w:t>
      </w:r>
      <w:r w:rsidRPr="00161F82">
        <w:rPr>
          <w:rFonts w:ascii="Arial" w:hAnsi="Arial" w:cs="Arial"/>
          <w:i/>
        </w:rPr>
        <w:t>Unified Modeling Language 2.5.1</w:t>
      </w:r>
      <w:r w:rsidRPr="00161F82">
        <w:rPr>
          <w:rFonts w:ascii="Arial" w:hAnsi="Arial" w:cs="Arial"/>
        </w:rPr>
        <w:t xml:space="preserve">. </w:t>
      </w:r>
      <w:hyperlink r:id="rId12">
        <w:r w:rsidRPr="00161F82">
          <w:rPr>
            <w:rFonts w:ascii="Arial" w:hAnsi="Arial" w:cs="Arial"/>
          </w:rPr>
          <w:t>https://www.omg.org/spec/UML/2.5.1/About-UML</w:t>
        </w:r>
      </w:hyperlink>
    </w:p>
    <w:sectPr w:rsidR="007B7F48" w:rsidRPr="00161F82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15A9" w14:textId="77777777" w:rsidR="00AA2B15" w:rsidRDefault="00AA2B15">
      <w:pPr>
        <w:spacing w:after="0" w:line="240" w:lineRule="auto"/>
      </w:pPr>
      <w:r>
        <w:separator/>
      </w:r>
    </w:p>
  </w:endnote>
  <w:endnote w:type="continuationSeparator" w:id="0">
    <w:p w14:paraId="75F3A294" w14:textId="77777777" w:rsidR="00AA2B15" w:rsidRDefault="00AA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1392" w14:textId="77777777" w:rsidR="00161F82" w:rsidRPr="008D61BA" w:rsidRDefault="00161F82">
    <w:pPr>
      <w:pStyle w:val="Piedepgina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44AF" w14:textId="77777777" w:rsidR="007B7F48" w:rsidRPr="008D61BA" w:rsidRDefault="00000000">
    <w:pPr>
      <w:pStyle w:val="Piedepgina"/>
      <w:jc w:val="right"/>
      <w:rPr>
        <w:rFonts w:ascii="Arial" w:hAnsi="Arial" w:cs="Arial"/>
      </w:rPr>
    </w:pPr>
    <w:r w:rsidRPr="008D61BA">
      <w:rPr>
        <w:rFonts w:ascii="Arial" w:hAnsi="Arial" w:cs="Arial"/>
        <w:sz w:val="18"/>
      </w:rPr>
      <w:t xml:space="preserve">Página </w:t>
    </w:r>
    <w:r w:rsidRPr="008D61BA">
      <w:rPr>
        <w:rFonts w:ascii="Arial" w:hAnsi="Arial" w:cs="Arial"/>
        <w:sz w:val="18"/>
      </w:rPr>
      <w:fldChar w:fldCharType="begin"/>
    </w:r>
    <w:r w:rsidRPr="008D61BA">
      <w:rPr>
        <w:rFonts w:ascii="Arial" w:hAnsi="Arial" w:cs="Arial"/>
        <w:sz w:val="18"/>
      </w:rPr>
      <w:instrText xml:space="preserve"> PAGE </w:instrText>
    </w:r>
    <w:r w:rsidRPr="008D61BA">
      <w:rPr>
        <w:rFonts w:ascii="Arial" w:hAnsi="Arial" w:cs="Arial"/>
        <w:sz w:val="18"/>
      </w:rPr>
      <w:fldChar w:fldCharType="separate"/>
    </w:r>
    <w:r w:rsidRPr="008D61BA">
      <w:rPr>
        <w:rFonts w:ascii="Arial" w:hAnsi="Arial" w:cs="Arial"/>
        <w:sz w:val="18"/>
      </w:rPr>
      <w:t>1</w:t>
    </w:r>
    <w:r w:rsidRPr="008D61BA">
      <w:rPr>
        <w:rFonts w:ascii="Arial" w:hAnsi="Arial" w:cs="Arial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923F" w14:textId="77777777" w:rsidR="00161F82" w:rsidRPr="008D61BA" w:rsidRDefault="00161F82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9C78E" w14:textId="77777777" w:rsidR="00AA2B15" w:rsidRDefault="00AA2B15">
      <w:pPr>
        <w:spacing w:after="0" w:line="240" w:lineRule="auto"/>
      </w:pPr>
      <w:r>
        <w:separator/>
      </w:r>
    </w:p>
  </w:footnote>
  <w:footnote w:type="continuationSeparator" w:id="0">
    <w:p w14:paraId="7BBC472A" w14:textId="77777777" w:rsidR="00AA2B15" w:rsidRDefault="00AA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1F3D" w14:textId="77777777" w:rsidR="00161F82" w:rsidRDefault="00161F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F1FA" w14:textId="61F89EC6" w:rsidR="007B7F48" w:rsidRDefault="00161F82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EFEAB9" wp14:editId="37577378">
          <wp:simplePos x="0" y="0"/>
          <wp:positionH relativeFrom="column">
            <wp:posOffset>-518160</wp:posOffset>
          </wp:positionH>
          <wp:positionV relativeFrom="paragraph">
            <wp:posOffset>-245110</wp:posOffset>
          </wp:positionV>
          <wp:extent cx="2011680" cy="494997"/>
          <wp:effectExtent l="0" t="0" r="7620" b="635"/>
          <wp:wrapNone/>
          <wp:docPr id="8120810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081006" name="Imagen 81208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4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AD45" w14:textId="77777777" w:rsidR="00161F82" w:rsidRDefault="00161F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771670">
    <w:abstractNumId w:val="8"/>
  </w:num>
  <w:num w:numId="2" w16cid:durableId="2105689468">
    <w:abstractNumId w:val="6"/>
  </w:num>
  <w:num w:numId="3" w16cid:durableId="1271087051">
    <w:abstractNumId w:val="5"/>
  </w:num>
  <w:num w:numId="4" w16cid:durableId="767046675">
    <w:abstractNumId w:val="4"/>
  </w:num>
  <w:num w:numId="5" w16cid:durableId="465321822">
    <w:abstractNumId w:val="7"/>
  </w:num>
  <w:num w:numId="6" w16cid:durableId="1022630568">
    <w:abstractNumId w:val="3"/>
  </w:num>
  <w:num w:numId="7" w16cid:durableId="1924146360">
    <w:abstractNumId w:val="2"/>
  </w:num>
  <w:num w:numId="8" w16cid:durableId="896403168">
    <w:abstractNumId w:val="1"/>
  </w:num>
  <w:num w:numId="9" w16cid:durableId="154497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F82"/>
    <w:rsid w:val="00211A73"/>
    <w:rsid w:val="0029639D"/>
    <w:rsid w:val="00326F90"/>
    <w:rsid w:val="007B7F48"/>
    <w:rsid w:val="008D61BA"/>
    <w:rsid w:val="00AA1D8D"/>
    <w:rsid w:val="00AA2B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37AAAA"/>
  <w14:defaultImageDpi w14:val="300"/>
  <w15:docId w15:val="{82C809D0-1E4C-42A9-80D2-3E233B10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161F82"/>
    <w:pPr>
      <w:tabs>
        <w:tab w:val="right" w:leader="dot" w:pos="963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1F8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61F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mg.org/spec/UML/2.5.1/About-UM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0F12A8-1795-4AA7-9167-7EA11663198C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20b5f71e-4263-4e43-a913-17431047be9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1831</Words>
  <Characters>10075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Diagramas UML de Localito</vt:lpstr>
      <vt:lpstr/>
    </vt:vector>
  </TitlesOfParts>
  <Manager/>
  <Company/>
  <LinksUpToDate>false</LinksUpToDate>
  <CharactersWithSpaces>11883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UML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Camilo gonzalez soto</cp:lastModifiedBy>
  <cp:revision>2</cp:revision>
  <cp:lastPrinted>2026-10-05T23:26:00Z</cp:lastPrinted>
  <dcterms:created xsi:type="dcterms:W3CDTF">2013-12-23T23:15:00Z</dcterms:created>
  <dcterms:modified xsi:type="dcterms:W3CDTF">2026-10-05T23:27:00Z</dcterms:modified>
  <cp:category/>
</cp:coreProperties>
</file>