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E385" w14:textId="6EA51F40" w:rsidR="00EA3504" w:rsidRPr="00E57237" w:rsidRDefault="00000000" w:rsidP="00E57237">
      <w:pPr>
        <w:spacing w:before="760"/>
        <w:jc w:val="center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b/>
          <w:lang w:val="es-CL"/>
        </w:rPr>
        <w:t>DUOC UC PLAZA NORTE</w:t>
      </w:r>
    </w:p>
    <w:p w14:paraId="4DDA3EEE" w14:textId="77777777" w:rsidR="00EA3504" w:rsidRPr="00E57237" w:rsidRDefault="00000000" w:rsidP="00E57237">
      <w:pPr>
        <w:pStyle w:val="Title"/>
        <w:spacing w:before="480" w:after="360"/>
        <w:jc w:val="center"/>
        <w:rPr>
          <w:rFonts w:ascii="Arial" w:hAnsi="Arial" w:cs="Arial"/>
          <w:sz w:val="22"/>
          <w:szCs w:val="22"/>
          <w:lang w:val="es-CL"/>
        </w:rPr>
      </w:pPr>
      <w:r w:rsidRPr="00E57237">
        <w:rPr>
          <w:rFonts w:ascii="Arial" w:hAnsi="Arial" w:cs="Arial"/>
          <w:sz w:val="22"/>
          <w:szCs w:val="22"/>
          <w:lang w:val="es-CL"/>
        </w:rPr>
        <w:t xml:space="preserve">Aplicabilidad de SRS y gestión de requisitos de </w:t>
      </w: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</w:p>
    <w:p w14:paraId="48AD1397" w14:textId="77777777" w:rsidR="00EA3504" w:rsidRPr="00E57237" w:rsidRDefault="00000000" w:rsidP="00E57237">
      <w:pPr>
        <w:pStyle w:val="Subtitle"/>
        <w:jc w:val="center"/>
        <w:rPr>
          <w:rFonts w:ascii="Arial" w:hAnsi="Arial" w:cs="Arial"/>
          <w:sz w:val="22"/>
          <w:szCs w:val="22"/>
          <w:lang w:val="es-CL"/>
        </w:rPr>
      </w:pPr>
      <w:r w:rsidRPr="00E57237">
        <w:rPr>
          <w:rFonts w:ascii="Arial" w:hAnsi="Arial" w:cs="Arial"/>
          <w:sz w:val="22"/>
          <w:szCs w:val="22"/>
          <w:lang w:val="es-CL"/>
        </w:rPr>
        <w:t xml:space="preserve">Proyecto </w:t>
      </w: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Capstone</w:t>
      </w:r>
      <w:proofErr w:type="spellEnd"/>
      <w:r w:rsidRPr="00E57237">
        <w:rPr>
          <w:rFonts w:ascii="Arial" w:hAnsi="Arial" w:cs="Arial"/>
          <w:sz w:val="22"/>
          <w:szCs w:val="22"/>
          <w:lang w:val="es-CL"/>
        </w:rPr>
        <w:t xml:space="preserve"> de Ingeniería en Informática</w:t>
      </w:r>
    </w:p>
    <w:p w14:paraId="32D56D9C" w14:textId="77777777" w:rsidR="00EA3504" w:rsidRPr="00E57237" w:rsidRDefault="00000000" w:rsidP="00E57237">
      <w:pPr>
        <w:pStyle w:val="Subtitle"/>
        <w:jc w:val="center"/>
        <w:rPr>
          <w:rFonts w:ascii="Arial" w:hAnsi="Arial" w:cs="Arial"/>
          <w:sz w:val="22"/>
          <w:szCs w:val="22"/>
          <w:lang w:val="es-CL"/>
        </w:rPr>
      </w:pP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  <w:r w:rsidRPr="00E57237">
        <w:rPr>
          <w:rFonts w:ascii="Arial" w:hAnsi="Arial" w:cs="Arial"/>
          <w:sz w:val="22"/>
          <w:szCs w:val="22"/>
          <w:lang w:val="es-CL"/>
        </w:rPr>
        <w:t xml:space="preserve"> PWA SaaS para gestión de pequeños comercios</w:t>
      </w:r>
    </w:p>
    <w:p w14:paraId="42A35496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46AE1D50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4F7BB993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69AAA829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132D44EA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4B74DA82" w14:textId="77777777" w:rsidR="00E57237" w:rsidRDefault="00E57237" w:rsidP="00E57237">
      <w:pPr>
        <w:spacing w:before="760"/>
        <w:jc w:val="right"/>
        <w:rPr>
          <w:rFonts w:ascii="Arial" w:hAnsi="Arial" w:cs="Arial"/>
          <w:b/>
          <w:lang w:val="es-CL"/>
        </w:rPr>
      </w:pPr>
    </w:p>
    <w:p w14:paraId="40DAC6C6" w14:textId="4AB98D77" w:rsidR="00EA3504" w:rsidRPr="00E57237" w:rsidRDefault="00000000" w:rsidP="00E57237">
      <w:pPr>
        <w:spacing w:before="760"/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b/>
          <w:lang w:val="es-CL"/>
        </w:rPr>
        <w:t>Autores</w:t>
      </w:r>
    </w:p>
    <w:p w14:paraId="24087040" w14:textId="77777777" w:rsidR="00EA3504" w:rsidRPr="00E57237" w:rsidRDefault="00000000" w:rsidP="00E57237">
      <w:pPr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Camilo González</w:t>
      </w:r>
      <w:r w:rsidRPr="00E57237">
        <w:rPr>
          <w:rFonts w:ascii="Arial" w:hAnsi="Arial" w:cs="Arial"/>
          <w:lang w:val="es-CL"/>
        </w:rPr>
        <w:br/>
        <w:t>Alexander Patiño</w:t>
      </w:r>
      <w:r w:rsidRPr="00E57237">
        <w:rPr>
          <w:rFonts w:ascii="Arial" w:hAnsi="Arial" w:cs="Arial"/>
          <w:lang w:val="es-CL"/>
        </w:rPr>
        <w:br/>
        <w:t>Samuel Solís</w:t>
      </w:r>
    </w:p>
    <w:p w14:paraId="72C70450" w14:textId="77777777" w:rsidR="00EA3504" w:rsidRPr="00E57237" w:rsidRDefault="00000000" w:rsidP="00E57237">
      <w:pPr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Docente Álvaro Andrés Mellado Pimentel</w:t>
      </w:r>
    </w:p>
    <w:p w14:paraId="57FD72B0" w14:textId="2022C1C1" w:rsidR="00EA3504" w:rsidRPr="00E57237" w:rsidRDefault="00000000" w:rsidP="00E57237">
      <w:pPr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Revisión documental </w:t>
      </w:r>
      <w:r w:rsidR="00E57237">
        <w:rPr>
          <w:rFonts w:ascii="Arial" w:hAnsi="Arial" w:cs="Arial"/>
          <w:lang w:val="es-CL"/>
        </w:rPr>
        <w:t>11</w:t>
      </w:r>
      <w:r w:rsidRPr="00E57237">
        <w:rPr>
          <w:rFonts w:ascii="Arial" w:hAnsi="Arial" w:cs="Arial"/>
          <w:lang w:val="es-CL"/>
        </w:rPr>
        <w:t xml:space="preserve"> de octubre de 2026</w:t>
      </w:r>
      <w:r w:rsidRPr="00E57237">
        <w:rPr>
          <w:rFonts w:ascii="Arial" w:hAnsi="Arial" w:cs="Arial"/>
          <w:lang w:val="es-CL"/>
        </w:rPr>
        <w:br/>
        <w:t>Estados de Scrum al 03 de octubre de 2026</w:t>
      </w:r>
    </w:p>
    <w:p w14:paraId="0D6D4AEF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br w:type="page"/>
      </w:r>
    </w:p>
    <w:p w14:paraId="34E05990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</w:rPr>
      </w:pPr>
      <w:proofErr w:type="spellStart"/>
      <w:r w:rsidRPr="00E57237">
        <w:rPr>
          <w:rFonts w:ascii="Arial" w:hAnsi="Arial" w:cs="Arial"/>
          <w:sz w:val="22"/>
          <w:szCs w:val="22"/>
        </w:rPr>
        <w:lastRenderedPageBreak/>
        <w:t>Índice</w:t>
      </w:r>
      <w:proofErr w:type="spellEnd"/>
    </w:p>
    <w:p w14:paraId="1DD8BFA2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r w:rsidRPr="00E57237">
        <w:rPr>
          <w:rFonts w:ascii="Arial" w:hAnsi="Arial" w:cs="Arial"/>
          <w:sz w:val="22"/>
        </w:rPr>
        <w:fldChar w:fldCharType="begin"/>
      </w:r>
      <w:r w:rsidRPr="00E57237">
        <w:rPr>
          <w:rFonts w:ascii="Arial" w:hAnsi="Arial" w:cs="Arial"/>
          <w:sz w:val="22"/>
        </w:rPr>
        <w:instrText xml:space="preserve"> TOC \o "1-2" \h \z \u </w:instrText>
      </w:r>
      <w:r w:rsidRPr="00E57237">
        <w:rPr>
          <w:rFonts w:ascii="Arial" w:hAnsi="Arial" w:cs="Arial"/>
          <w:sz w:val="22"/>
        </w:rPr>
        <w:fldChar w:fldCharType="separate"/>
      </w:r>
      <w:hyperlink w:anchor="h1">
        <w:r w:rsidRPr="00E57237">
          <w:rPr>
            <w:rFonts w:ascii="Arial" w:hAnsi="Arial" w:cs="Arial"/>
            <w:noProof/>
            <w:sz w:val="22"/>
          </w:rPr>
          <w:t>1 Resumen ejecutivo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h1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3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1F3C66EC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2">
        <w:r w:rsidRPr="00E57237">
          <w:rPr>
            <w:rFonts w:ascii="Arial" w:hAnsi="Arial" w:cs="Arial"/>
            <w:noProof/>
            <w:sz w:val="22"/>
          </w:rPr>
          <w:t>2 Introducción y alcance de la decisión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h2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3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6B4520A2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3">
        <w:r w:rsidRPr="00E57237">
          <w:rPr>
            <w:rFonts w:ascii="Arial" w:hAnsi="Arial" w:cs="Arial"/>
            <w:noProof/>
            <w:sz w:val="22"/>
          </w:rPr>
          <w:t>3 Organización de los requisitos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h3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3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5601C9D5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4">
        <w:r w:rsidRPr="00E57237">
          <w:rPr>
            <w:rFonts w:ascii="Arial" w:hAnsi="Arial" w:cs="Arial"/>
            <w:noProof/>
            <w:sz w:val="22"/>
          </w:rPr>
          <w:t>4 Requisitos funcionales y reglas de negocio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h4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3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1DA8C846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5">
        <w:r w:rsidRPr="00E57237">
          <w:rPr>
            <w:rFonts w:ascii="Arial" w:hAnsi="Arial" w:cs="Arial"/>
            <w:noProof/>
            <w:sz w:val="22"/>
          </w:rPr>
          <w:t>5 Requisitos no funcionales y comprobación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h5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4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6F17DB60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6">
        <w:r w:rsidRPr="00E57237">
          <w:rPr>
            <w:rFonts w:ascii="Arial" w:hAnsi="Arial" w:cs="Arial"/>
            <w:noProof/>
            <w:sz w:val="22"/>
          </w:rPr>
          <w:t>6 Trazabilidad y cambios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h6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4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0147E9B1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7">
        <w:r w:rsidRPr="00E57237">
          <w:rPr>
            <w:rFonts w:ascii="Arial" w:hAnsi="Arial" w:cs="Arial"/>
            <w:noProof/>
            <w:sz w:val="22"/>
          </w:rPr>
          <w:t>7 Condiciones para una futura SRS formal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h7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4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3EDCC97F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8">
        <w:r w:rsidRPr="00E57237">
          <w:rPr>
            <w:rFonts w:ascii="Arial" w:hAnsi="Arial" w:cs="Arial"/>
            <w:noProof/>
            <w:sz w:val="22"/>
          </w:rPr>
          <w:t>8 Evidencias relacionadas con esta versión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h8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4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372AEEB2" w14:textId="77777777" w:rsidR="00EA3504" w:rsidRPr="00E57237" w:rsidRDefault="00000000">
      <w:pPr>
        <w:pStyle w:val="TOC11"/>
        <w:rPr>
          <w:rFonts w:ascii="Arial" w:hAnsi="Arial" w:cs="Arial"/>
          <w:noProof/>
          <w:sz w:val="22"/>
        </w:rPr>
      </w:pPr>
      <w:hyperlink w:anchor="h9">
        <w:r w:rsidRPr="00E57237">
          <w:rPr>
            <w:rFonts w:ascii="Arial" w:hAnsi="Arial" w:cs="Arial"/>
            <w:noProof/>
            <w:sz w:val="22"/>
          </w:rPr>
          <w:t>9 Conclusiones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h9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5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0513F4A4" w14:textId="77777777" w:rsidR="00EA3504" w:rsidRPr="00E57237" w:rsidRDefault="00000000">
      <w:pPr>
        <w:pStyle w:val="TOC11"/>
        <w:rPr>
          <w:rFonts w:ascii="Arial" w:hAnsi="Arial" w:cs="Arial"/>
          <w:sz w:val="22"/>
        </w:rPr>
      </w:pPr>
      <w:hyperlink w:anchor="h10">
        <w:r w:rsidRPr="00E57237">
          <w:rPr>
            <w:rFonts w:ascii="Arial" w:hAnsi="Arial" w:cs="Arial"/>
            <w:noProof/>
            <w:sz w:val="22"/>
          </w:rPr>
          <w:t>11 Referencias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h10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5</w:t>
      </w:r>
      <w:r w:rsidRPr="00E57237">
        <w:rPr>
          <w:rFonts w:ascii="Arial" w:hAnsi="Arial" w:cs="Arial"/>
          <w:noProof/>
          <w:sz w:val="22"/>
        </w:rPr>
        <w:fldChar w:fldCharType="end"/>
      </w:r>
      <w:r w:rsidRPr="00E57237">
        <w:rPr>
          <w:rFonts w:ascii="Arial" w:hAnsi="Arial" w:cs="Arial"/>
          <w:sz w:val="22"/>
        </w:rPr>
        <w:fldChar w:fldCharType="end"/>
      </w:r>
    </w:p>
    <w:p w14:paraId="699CE01D" w14:textId="77777777" w:rsidR="00EA3504" w:rsidRPr="00E57237" w:rsidRDefault="00000000">
      <w:pPr>
        <w:rPr>
          <w:rFonts w:ascii="Arial" w:hAnsi="Arial" w:cs="Arial"/>
        </w:rPr>
      </w:pPr>
      <w:r w:rsidRPr="00E57237">
        <w:rPr>
          <w:rFonts w:ascii="Arial" w:hAnsi="Arial" w:cs="Arial"/>
        </w:rPr>
        <w:br w:type="page"/>
      </w:r>
    </w:p>
    <w:p w14:paraId="424E9CA4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0" w:name="h1"/>
      <w:r w:rsidRPr="00E57237">
        <w:rPr>
          <w:rFonts w:ascii="Arial" w:hAnsi="Arial" w:cs="Arial"/>
          <w:sz w:val="22"/>
          <w:szCs w:val="22"/>
          <w:lang w:val="es-CL"/>
        </w:rPr>
        <w:lastRenderedPageBreak/>
        <w:t xml:space="preserve">1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Resumen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ejecutivo</w:t>
      </w:r>
      <w:bookmarkEnd w:id="0"/>
    </w:p>
    <w:p w14:paraId="5CDC0CD4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documentación del repositorio interpreta que el criterio SRS de la pauta aplica a equipos que declaran metodología Cascada.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 xml:space="preserve"> declara Scrum, por lo que este documento registra la no aplicabilidad de ese criterio específico y explica dónde se documentan los requisitos. Esa resolución académica no elimina la ingeniería de requisitos ni implica que Scrum prohíba una SRS.</w:t>
      </w:r>
    </w:p>
    <w:p w14:paraId="00E50546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El proyecto utiliza visión y objetivo, historias y criterios de aceptación, requisitos no funcionales, modelos y pruebas. Este documento consolida una guía para encontrar y revisar esa información, conservando trazabilidad y alcance. No se presenta como una SRS completa conforme a ISO/IEC/IEEE 29148.</w:t>
      </w:r>
    </w:p>
    <w:p w14:paraId="6D080340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1" w:name="h2"/>
      <w:r w:rsidRPr="00E57237">
        <w:rPr>
          <w:rFonts w:ascii="Arial" w:hAnsi="Arial" w:cs="Arial"/>
          <w:sz w:val="22"/>
          <w:szCs w:val="22"/>
          <w:lang w:val="es-CL"/>
        </w:rPr>
        <w:t xml:space="preserve">2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Introducción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y alcance de la decisión</w:t>
      </w:r>
      <w:bookmarkEnd w:id="1"/>
    </w:p>
    <w:p w14:paraId="6771B0A0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</w:t>
      </w:r>
      <w:proofErr w:type="spellStart"/>
      <w:r w:rsidRPr="00E57237">
        <w:rPr>
          <w:rFonts w:ascii="Arial" w:hAnsi="Arial" w:cs="Arial"/>
          <w:lang w:val="es-CL"/>
        </w:rPr>
        <w:t>checklist</w:t>
      </w:r>
      <w:proofErr w:type="spellEnd"/>
      <w:r w:rsidRPr="00E57237">
        <w:rPr>
          <w:rFonts w:ascii="Arial" w:hAnsi="Arial" w:cs="Arial"/>
          <w:lang w:val="es-CL"/>
        </w:rPr>
        <w:t xml:space="preserve"> del repositorio enumera documentos y relaciona su aplicabilidad con la metodología declarada. Para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>, la justificación consiste en responder a ese criterio sin inventar una obligación adicional. La versión oficial íntegra de la pauta debe confirmar esta interpretación antes de la entrega definitiva.</w:t>
      </w:r>
    </w:p>
    <w:p w14:paraId="0F91D19B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ISO/IEC/IEEE 29148 trata procesos e información de requisitos y se declara aplicable con independencia de metodología (ISO, IEC e IEEE, 2018). Por eso es incorrecto afirmar que una especificación sería incompatible con Scrum. Si el profesor solicita posteriormente una SRS, puede construirse a partir de los mismos requisitos, sin reemplazar la gestión incremental.</w:t>
      </w:r>
    </w:p>
    <w:p w14:paraId="6822D4DD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</w:rPr>
      </w:pPr>
      <w:bookmarkStart w:id="2" w:name="h3"/>
      <w:r w:rsidRPr="00E57237">
        <w:rPr>
          <w:rFonts w:ascii="Arial" w:hAnsi="Arial" w:cs="Arial"/>
          <w:sz w:val="22"/>
          <w:szCs w:val="22"/>
        </w:rPr>
        <w:t xml:space="preserve">3 Organización de </w:t>
      </w:r>
      <w:proofErr w:type="spellStart"/>
      <w:r w:rsidRPr="00E57237">
        <w:rPr>
          <w:rFonts w:ascii="Arial" w:hAnsi="Arial" w:cs="Arial"/>
          <w:sz w:val="22"/>
          <w:szCs w:val="22"/>
        </w:rPr>
        <w:t>los</w:t>
      </w:r>
      <w:proofErr w:type="spellEnd"/>
      <w:r w:rsidRPr="00E57237">
        <w:rPr>
          <w:rFonts w:ascii="Arial" w:hAnsi="Arial" w:cs="Arial"/>
          <w:sz w:val="22"/>
          <w:szCs w:val="22"/>
        </w:rPr>
        <w:t xml:space="preserve"> requisitos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81"/>
        <w:gridCol w:w="2618"/>
        <w:gridCol w:w="4049"/>
      </w:tblGrid>
      <w:tr w:rsidR="00EA3504" w:rsidRPr="00E57237" w14:paraId="34CD55B9" w14:textId="77777777">
        <w:trPr>
          <w:cantSplit/>
          <w:tblHeader/>
          <w:jc w:val="center"/>
        </w:trPr>
        <w:tc>
          <w:tcPr>
            <w:tcW w:w="2981" w:type="dxa"/>
            <w:shd w:val="clear" w:color="auto" w:fill="404040"/>
            <w:vAlign w:val="center"/>
          </w:tcPr>
          <w:p w14:paraId="1B4D0CE9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Tipo de información</w:t>
            </w:r>
          </w:p>
        </w:tc>
        <w:tc>
          <w:tcPr>
            <w:tcW w:w="2618" w:type="dxa"/>
            <w:shd w:val="clear" w:color="auto" w:fill="404040"/>
            <w:vAlign w:val="center"/>
          </w:tcPr>
          <w:p w14:paraId="75F50C53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Documento principal</w:t>
            </w:r>
          </w:p>
        </w:tc>
        <w:tc>
          <w:tcPr>
            <w:tcW w:w="4049" w:type="dxa"/>
            <w:shd w:val="clear" w:color="auto" w:fill="404040"/>
            <w:vAlign w:val="center"/>
          </w:tcPr>
          <w:p w14:paraId="54E6C982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Qué debe permitir revisar</w:t>
            </w:r>
          </w:p>
        </w:tc>
      </w:tr>
      <w:tr w:rsidR="00EA3504" w:rsidRPr="00E57237" w14:paraId="3D66E253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445E5759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Problema y objetivos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7249D38F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Documento de Inicio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15461A2D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Necesidad y alcance</w:t>
            </w:r>
          </w:p>
        </w:tc>
      </w:tr>
      <w:tr w:rsidR="00EA3504" w:rsidRPr="00E57237" w14:paraId="4E4D5F94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2F0569E9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Visión y dirección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7DBCEEBA" w14:textId="77777777" w:rsidR="00EA3504" w:rsidRPr="00E5723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Product Vision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541F42AA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Usuarios y valor esperado</w:t>
            </w:r>
          </w:p>
        </w:tc>
      </w:tr>
      <w:tr w:rsidR="00EA3504" w:rsidRPr="00E57237" w14:paraId="3613202B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09589938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Requisitos funcionales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26FAB4C4" w14:textId="77777777" w:rsidR="00EA3504" w:rsidRPr="00E5723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Product Backlog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7AF57840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Actor, capacidad y aceptación</w:t>
            </w:r>
          </w:p>
        </w:tc>
      </w:tr>
      <w:tr w:rsidR="00EA3504" w:rsidRPr="00E57237" w14:paraId="41B66954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16C5E146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Trabajo de iteración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405FF121" w14:textId="77777777" w:rsidR="00EA3504" w:rsidRPr="00E5723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Sprint Backlog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3BB24965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Objetivo y compromiso vigente</w:t>
            </w:r>
          </w:p>
        </w:tc>
      </w:tr>
      <w:tr w:rsidR="00EA3504" w:rsidRPr="00E57237" w14:paraId="0C820A8C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0DF399DB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Requisitos de calidad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55620DF8" w14:textId="77777777" w:rsidR="00EA3504" w:rsidRPr="00E57237" w:rsidRDefault="00000000">
            <w:pPr>
              <w:spacing w:after="0" w:line="252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RNF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2DBED1C4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Condición y verificación</w:t>
            </w:r>
          </w:p>
        </w:tc>
      </w:tr>
      <w:tr w:rsidR="00EA3504" w:rsidRPr="00E57237" w14:paraId="0234CA01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73DB5521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Diseño de solución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405DBCA3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Arquitectura, datos y UML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671A978C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Mecanismos y relaciones</w:t>
            </w:r>
          </w:p>
        </w:tc>
      </w:tr>
      <w:tr w:rsidR="00EA3504" w:rsidRPr="00E57237" w14:paraId="51E287A6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3E362A4E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Aceptación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3F01D70B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Plan de Pruebas y DoD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44A39045" w14:textId="77777777" w:rsidR="00EA3504" w:rsidRPr="00E57237" w:rsidRDefault="00000000">
            <w:pPr>
              <w:spacing w:after="0" w:line="252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 xml:space="preserve">Caso, </w:t>
            </w:r>
            <w:proofErr w:type="spellStart"/>
            <w:r w:rsidRPr="00E57237">
              <w:rPr>
                <w:rFonts w:ascii="Arial" w:hAnsi="Arial" w:cs="Arial"/>
              </w:rPr>
              <w:t>resultado</w:t>
            </w:r>
            <w:proofErr w:type="spellEnd"/>
            <w:r w:rsidRPr="00E57237">
              <w:rPr>
                <w:rFonts w:ascii="Arial" w:hAnsi="Arial" w:cs="Arial"/>
              </w:rPr>
              <w:t xml:space="preserve"> y </w:t>
            </w:r>
            <w:proofErr w:type="spellStart"/>
            <w:r w:rsidRPr="00E57237">
              <w:rPr>
                <w:rFonts w:ascii="Arial" w:hAnsi="Arial" w:cs="Arial"/>
              </w:rPr>
              <w:t>evidencia</w:t>
            </w:r>
            <w:proofErr w:type="spellEnd"/>
          </w:p>
        </w:tc>
      </w:tr>
    </w:tbl>
    <w:p w14:paraId="7A7ACA4F" w14:textId="77777777" w:rsidR="00EA3504" w:rsidRPr="00E57237" w:rsidRDefault="00EA3504">
      <w:pPr>
        <w:spacing w:after="20"/>
        <w:rPr>
          <w:rFonts w:ascii="Arial" w:hAnsi="Arial" w:cs="Arial"/>
        </w:rPr>
      </w:pPr>
    </w:p>
    <w:p w14:paraId="53B04530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Las rutas de </w:t>
      </w:r>
      <w:proofErr w:type="spellStart"/>
      <w:r w:rsidRPr="00E57237">
        <w:rPr>
          <w:rFonts w:ascii="Arial" w:hAnsi="Arial" w:cs="Arial"/>
          <w:lang w:val="es-CL"/>
        </w:rPr>
        <w:t>Markdown</w:t>
      </w:r>
      <w:proofErr w:type="spellEnd"/>
      <w:r w:rsidRPr="00E57237">
        <w:rPr>
          <w:rFonts w:ascii="Arial" w:hAnsi="Arial" w:cs="Arial"/>
          <w:lang w:val="es-CL"/>
        </w:rPr>
        <w:t xml:space="preserve"> se mantienen como fuentes del repositorio y los Word amplían su explicación. La captura de un tablero no sustituye criterios de aceptación; un diagrama no sustituye una regla de negocio. Cada documento responde una parte y debe poder enlazarse con los demás.</w:t>
      </w:r>
    </w:p>
    <w:p w14:paraId="2C5B3275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3" w:name="h4"/>
      <w:r w:rsidRPr="00E57237">
        <w:rPr>
          <w:rFonts w:ascii="Arial" w:hAnsi="Arial" w:cs="Arial"/>
          <w:sz w:val="22"/>
          <w:szCs w:val="22"/>
          <w:lang w:val="es-CL"/>
        </w:rPr>
        <w:lastRenderedPageBreak/>
        <w:t xml:space="preserve">4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Requisitos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funcionales y reglas de negocio</w:t>
      </w:r>
      <w:bookmarkEnd w:id="3"/>
    </w:p>
    <w:p w14:paraId="41AB7B2F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Un requisito funcional describe la operación del usuario. Registrar venta incluye seleccionar productos y confirmar. Las reglas agregan restricciones: el producto pertenece al negocio, no está desactivado, hay stock cuando se controla y el total se obtiene del servidor. La historia debe evitar que esos detalles queden implícitos.</w:t>
      </w:r>
    </w:p>
    <w:p w14:paraId="6AA19B41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fiado necesita cliente válido, estado de crédito y saldo. Una recepción requiere cantidades y productos permitidos. Los pagos mixtos deben cuadrar con el total. Estas reglas aparecen en la implementación y deben revisarse con el </w:t>
      </w:r>
      <w:proofErr w:type="spellStart"/>
      <w:r w:rsidRPr="00E57237">
        <w:rPr>
          <w:rFonts w:ascii="Arial" w:hAnsi="Arial" w:cs="Arial"/>
          <w:lang w:val="es-CL"/>
        </w:rPr>
        <w:t>Product</w:t>
      </w:r>
      <w:proofErr w:type="spellEnd"/>
      <w:r w:rsidRPr="00E57237">
        <w:rPr>
          <w:rFonts w:ascii="Arial" w:hAnsi="Arial" w:cs="Arial"/>
          <w:lang w:val="es-CL"/>
        </w:rPr>
        <w:t xml:space="preserve"> Owner. Los criterios desarrollados en esta versión son precisiones propuestas; no se atribuyen a una reunión previa de aceptación.</w:t>
      </w:r>
    </w:p>
    <w:p w14:paraId="54CDFD01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4" w:name="h5"/>
      <w:r w:rsidRPr="00E57237">
        <w:rPr>
          <w:rFonts w:ascii="Arial" w:hAnsi="Arial" w:cs="Arial"/>
          <w:sz w:val="22"/>
          <w:szCs w:val="22"/>
          <w:lang w:val="es-CL"/>
        </w:rPr>
        <w:t xml:space="preserve">5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Requisitos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no funcionales y comprobación</w:t>
      </w:r>
      <w:bookmarkEnd w:id="4"/>
    </w:p>
    <w:p w14:paraId="7D6FFAE2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Seguridad, integridad, compatibilidad y operación se expresan como condiciones verificables. Decir que la aplicación es rápida no define una prueba. El documento de RNF añade escenarios y metas propuestas, indicando cuáles no tienen medición. La descripción del código acredita un mecanismo, mientras el resultado depende de su prueba.</w:t>
      </w:r>
    </w:p>
    <w:p w14:paraId="4BF8A30B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Los requisitos de producción deben separar disponibilidad del proveedor y resultado completo del proceso. Que PostgreSQL esté conectado no significa que una venta, IA o restauración haya sido validada. La calidad documental exige conservar esa distinción para que el evaluador no interprete configurado como probado.</w:t>
      </w:r>
    </w:p>
    <w:p w14:paraId="1C93A90D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5" w:name="h6"/>
      <w:r w:rsidRPr="00E57237">
        <w:rPr>
          <w:rFonts w:ascii="Arial" w:hAnsi="Arial" w:cs="Arial"/>
          <w:sz w:val="22"/>
          <w:szCs w:val="22"/>
          <w:lang w:val="es-CL"/>
        </w:rPr>
        <w:t xml:space="preserve">6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Trazabilidad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y cambios</w:t>
      </w:r>
      <w:bookmarkEnd w:id="5"/>
    </w:p>
    <w:p w14:paraId="67C91935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cadena propuesta es necesidad, historia, diseño, </w:t>
      </w:r>
      <w:proofErr w:type="spellStart"/>
      <w:r w:rsidRPr="00E57237">
        <w:rPr>
          <w:rFonts w:ascii="Arial" w:hAnsi="Arial" w:cs="Arial"/>
          <w:lang w:val="es-CL"/>
        </w:rPr>
        <w:t>commit</w:t>
      </w:r>
      <w:proofErr w:type="spellEnd"/>
      <w:r w:rsidRPr="00E57237">
        <w:rPr>
          <w:rFonts w:ascii="Arial" w:hAnsi="Arial" w:cs="Arial"/>
          <w:lang w:val="es-CL"/>
        </w:rPr>
        <w:t xml:space="preserve"> y prueba. Cada nuevo requisito debe indicar origen, prioridad y alcance. Si cambia el proveedor visual, se revisan configuración, errores y casos de IA. Si cambia la forma de calcular caja, se revisan operaciones y casos relacionados, además del manual.</w:t>
      </w:r>
    </w:p>
    <w:p w14:paraId="28D8FD04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Las versiones registran fecha y </w:t>
      </w:r>
      <w:proofErr w:type="spellStart"/>
      <w:r w:rsidRPr="00E57237">
        <w:rPr>
          <w:rFonts w:ascii="Arial" w:hAnsi="Arial" w:cs="Arial"/>
          <w:lang w:val="es-CL"/>
        </w:rPr>
        <w:t>commit</w:t>
      </w:r>
      <w:proofErr w:type="spellEnd"/>
      <w:r w:rsidRPr="00E57237">
        <w:rPr>
          <w:rFonts w:ascii="Arial" w:hAnsi="Arial" w:cs="Arial"/>
          <w:lang w:val="es-CL"/>
        </w:rPr>
        <w:t xml:space="preserve"> para evitar comparar un resultado antiguo con código diferente. Los estados futuros se mantienen pendientes. No se crean </w:t>
      </w:r>
      <w:proofErr w:type="spellStart"/>
      <w:r w:rsidRPr="00E57237">
        <w:rPr>
          <w:rFonts w:ascii="Arial" w:hAnsi="Arial" w:cs="Arial"/>
          <w:lang w:val="es-CL"/>
        </w:rPr>
        <w:t>story</w:t>
      </w:r>
      <w:proofErr w:type="spellEnd"/>
      <w:r w:rsidRPr="00E57237">
        <w:rPr>
          <w:rFonts w:ascii="Arial" w:hAnsi="Arial" w:cs="Arial"/>
          <w:lang w:val="es-CL"/>
        </w:rPr>
        <w:t xml:space="preserve"> </w:t>
      </w:r>
      <w:proofErr w:type="spellStart"/>
      <w:r w:rsidRPr="00E57237">
        <w:rPr>
          <w:rFonts w:ascii="Arial" w:hAnsi="Arial" w:cs="Arial"/>
          <w:lang w:val="es-CL"/>
        </w:rPr>
        <w:t>points</w:t>
      </w:r>
      <w:proofErr w:type="spellEnd"/>
      <w:r w:rsidRPr="00E57237">
        <w:rPr>
          <w:rFonts w:ascii="Arial" w:hAnsi="Arial" w:cs="Arial"/>
          <w:lang w:val="es-CL"/>
        </w:rPr>
        <w:t>, reuniones o métricas históricas ausentes. El detalle nuevo se presenta como refinamiento documental verificable con el equipo.</w:t>
      </w:r>
    </w:p>
    <w:p w14:paraId="276F5879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6" w:name="h7"/>
      <w:r w:rsidRPr="00E57237">
        <w:rPr>
          <w:rFonts w:ascii="Arial" w:hAnsi="Arial" w:cs="Arial"/>
          <w:sz w:val="22"/>
          <w:szCs w:val="22"/>
          <w:lang w:val="es-CL"/>
        </w:rPr>
        <w:t xml:space="preserve">7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Condiciones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para una futura SRS formal</w:t>
      </w:r>
      <w:bookmarkEnd w:id="6"/>
    </w:p>
    <w:p w14:paraId="75A1E183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Si se exige ese formato, una especificación debería consolidar propósito, contexto, actores, interfaces, requisitos identificados, reglas, atributos de calidad y verificación. Es posible estructurarla usando referencias de ingeniería de requisitos (ISO, IEC e IEEE, 2018), pero el cumplimiento completo requeriría revisar el texto normativo y la pauta aplicable. No basta con poner el nombre de una norma en la portada.</w:t>
      </w:r>
    </w:p>
    <w:p w14:paraId="5E554A56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La consolidación tendría que resolver ambigüedades de permisos, prestaciones por plan, comportamiento offline y pagos externos. También conservaría exclusiones tributarias y diferencias entre implementación y evidencia. Los documentos actuales aportan insumos para esa tarea, sin afirmar que ya exista una SRS certificada.</w:t>
      </w:r>
    </w:p>
    <w:p w14:paraId="0911A6E1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7" w:name="h8"/>
      <w:r w:rsidRPr="00E57237">
        <w:rPr>
          <w:rFonts w:ascii="Arial" w:hAnsi="Arial" w:cs="Arial"/>
          <w:sz w:val="22"/>
          <w:szCs w:val="22"/>
          <w:lang w:val="es-CL"/>
        </w:rPr>
        <w:lastRenderedPageBreak/>
        <w:t xml:space="preserve">8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Evidencias</w:t>
      </w:r>
      <w:proofErr w:type="gramEnd"/>
      <w:r w:rsidRPr="00E57237">
        <w:rPr>
          <w:rFonts w:ascii="Arial" w:hAnsi="Arial" w:cs="Arial"/>
          <w:sz w:val="22"/>
          <w:szCs w:val="22"/>
          <w:lang w:val="es-CL"/>
        </w:rPr>
        <w:t xml:space="preserve"> relacionadas con esta versión</w:t>
      </w:r>
      <w:bookmarkEnd w:id="7"/>
    </w:p>
    <w:p w14:paraId="053BACDB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"/>
        <w:gridCol w:w="9563"/>
        <w:gridCol w:w="37"/>
      </w:tblGrid>
      <w:tr w:rsidR="00E57237" w:rsidRPr="00E57237" w14:paraId="03DF0D02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5D62892" w14:textId="77777777" w:rsidR="00E57237" w:rsidRPr="00E57237" w:rsidRDefault="00E57237" w:rsidP="000A050A">
            <w:p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b/>
                <w:bCs/>
                <w:lang w:val="es-CL"/>
              </w:rPr>
              <w:t>Equivalencias de Requisitos de Calidad (NRF vs RNF):</w:t>
            </w:r>
          </w:p>
        </w:tc>
      </w:tr>
      <w:tr w:rsidR="00E57237" w:rsidRPr="00E57237" w14:paraId="479BC526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1F02C066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NRF-01 (Usabilidad) equivale a RNF06. </w:t>
            </w:r>
          </w:p>
        </w:tc>
      </w:tr>
      <w:tr w:rsidR="00E57237" w:rsidRPr="00E57237" w14:paraId="64658D14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DE71035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NRF-02 (Rendimiento) equivale a RNF05. </w:t>
            </w:r>
          </w:p>
        </w:tc>
      </w:tr>
      <w:tr w:rsidR="00E57237" w:rsidRPr="00E57237" w14:paraId="4E94B12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6E23194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NRF-03 (Disponibilidad) equivale a RNF04. </w:t>
            </w:r>
          </w:p>
        </w:tc>
      </w:tr>
      <w:tr w:rsidR="00E57237" w:rsidRPr="00E57237" w14:paraId="5031434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95D6D27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NRF-04 (Seguridad) equivale a RNF01. </w:t>
            </w:r>
          </w:p>
        </w:tc>
      </w:tr>
      <w:tr w:rsidR="00E57237" w:rsidRPr="00E57237" w14:paraId="531250B4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CEF4AB9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NRF-05 (Privacidad y separación) equivale a RNF02, RNF11 y RNF19. </w:t>
            </w:r>
          </w:p>
        </w:tc>
      </w:tr>
      <w:tr w:rsidR="00E57237" w:rsidRPr="00E57237" w14:paraId="5449B253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0AEFDC2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NRF-06 (Escalabilidad) equivale a RNF13. </w:t>
            </w:r>
          </w:p>
        </w:tc>
      </w:tr>
      <w:tr w:rsidR="00E57237" w:rsidRPr="00E57237" w14:paraId="1845B700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A4AF27F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NRF-07 (Mantenibilidad) equivale a RNF14. </w:t>
            </w:r>
          </w:p>
        </w:tc>
      </w:tr>
      <w:tr w:rsidR="00E57237" w:rsidRPr="00E57237" w14:paraId="60BB74C7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58A2BB4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NRF-08 (Compatibilidad) equivale a RNF12. </w:t>
            </w:r>
          </w:p>
        </w:tc>
      </w:tr>
      <w:tr w:rsidR="00E57237" w:rsidRPr="00E57237" w14:paraId="32B5DC7B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127BCEB6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NRF-09 (Accesibilidad) equivale a RNF07. </w:t>
            </w:r>
          </w:p>
        </w:tc>
      </w:tr>
      <w:tr w:rsidR="00E57237" w:rsidRPr="00E57237" w14:paraId="528EE869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5D835A7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NRF-10 (Auditoría) equivale a RNF10. </w:t>
            </w:r>
          </w:p>
        </w:tc>
      </w:tr>
      <w:tr w:rsidR="00E57237" w:rsidRPr="00E57237" w14:paraId="2059A543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F76EC72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NRF-11 (Integridad) equivale a RNF08 y RNF09. </w:t>
            </w:r>
          </w:p>
        </w:tc>
      </w:tr>
      <w:tr w:rsidR="00E57237" w:rsidRPr="00E57237" w14:paraId="0428E8A9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A25B8A2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NRF-12 (Recuperación) equivale a RNF15. </w:t>
            </w:r>
          </w:p>
        </w:tc>
      </w:tr>
      <w:tr w:rsidR="00E57237" w:rsidRPr="00E57237" w14:paraId="2BCCF83F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0724BA6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NRF-13 (</w:t>
            </w:r>
            <w:proofErr w:type="spellStart"/>
            <w:r w:rsidRPr="00E57237">
              <w:rPr>
                <w:rFonts w:ascii="Arial" w:hAnsi="Arial" w:cs="Arial"/>
                <w:lang w:val="es-CL"/>
              </w:rPr>
              <w:t>Instalabilidad</w:t>
            </w:r>
            <w:proofErr w:type="spellEnd"/>
            <w:r w:rsidRPr="00E57237">
              <w:rPr>
                <w:rFonts w:ascii="Arial" w:hAnsi="Arial" w:cs="Arial"/>
                <w:lang w:val="es-CL"/>
              </w:rPr>
              <w:t xml:space="preserve">) equivale a RNF16. </w:t>
            </w:r>
          </w:p>
        </w:tc>
      </w:tr>
      <w:tr w:rsidR="00E57237" w:rsidRPr="00E57237" w14:paraId="7E02853C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715C53AA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NRF-14 (Portabilidad) equivale a RNF17. </w:t>
            </w:r>
          </w:p>
        </w:tc>
      </w:tr>
      <w:tr w:rsidR="00E57237" w:rsidRPr="00E57237" w14:paraId="3A82606C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1BE3EF7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NRF-15 (</w:t>
            </w:r>
            <w:proofErr w:type="spellStart"/>
            <w:r w:rsidRPr="00E57237">
              <w:rPr>
                <w:rFonts w:ascii="Arial" w:hAnsi="Arial" w:cs="Arial"/>
                <w:lang w:val="es-CL"/>
              </w:rPr>
              <w:t>Observabilidad</w:t>
            </w:r>
            <w:proofErr w:type="spellEnd"/>
            <w:r w:rsidRPr="00E57237">
              <w:rPr>
                <w:rFonts w:ascii="Arial" w:hAnsi="Arial" w:cs="Arial"/>
                <w:lang w:val="es-CL"/>
              </w:rPr>
              <w:t xml:space="preserve">) equivale a RNF18. </w:t>
            </w:r>
          </w:p>
        </w:tc>
      </w:tr>
      <w:tr w:rsidR="00E57237" w:rsidRPr="00E57237" w14:paraId="1618251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6B9EF25" w14:textId="77777777" w:rsidR="00E57237" w:rsidRPr="00E57237" w:rsidRDefault="00E57237" w:rsidP="000A050A">
            <w:pPr>
              <w:numPr>
                <w:ilvl w:val="0"/>
                <w:numId w:val="10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i/>
                <w:iCs/>
                <w:lang w:val="es-CL"/>
              </w:rPr>
              <w:t>Nota:</w:t>
            </w:r>
            <w:r w:rsidRPr="00E57237">
              <w:rPr>
                <w:rFonts w:ascii="Arial" w:hAnsi="Arial" w:cs="Arial"/>
                <w:lang w:val="es-CL"/>
              </w:rPr>
              <w:t xml:space="preserve"> RF34 (Persistencia productiva) se complementa con RNF03. </w:t>
            </w:r>
          </w:p>
        </w:tc>
      </w:tr>
      <w:tr w:rsidR="00E57237" w:rsidRPr="00E57237" w14:paraId="418F90E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5EDC3950" w14:textId="77777777" w:rsidR="00E57237" w:rsidRPr="00E57237" w:rsidRDefault="00E57237" w:rsidP="00213C0F">
            <w:p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b/>
                <w:bCs/>
                <w:lang w:val="es-CL"/>
              </w:rPr>
              <w:t>Equivalencias de Historias de Usuario y Requisitos Funcionales:</w:t>
            </w:r>
          </w:p>
        </w:tc>
      </w:tr>
      <w:tr w:rsidR="00E57237" w:rsidRPr="00E57237" w14:paraId="0A99A6E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BB785ED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HU01: RF01, RF02. </w:t>
            </w:r>
          </w:p>
        </w:tc>
      </w:tr>
      <w:tr w:rsidR="00E57237" w:rsidRPr="00E57237" w14:paraId="3C47D50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3A56CB3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HU02: RF24. </w:t>
            </w:r>
          </w:p>
        </w:tc>
      </w:tr>
      <w:tr w:rsidR="00E57237" w:rsidRPr="00E57237" w14:paraId="2DF4AC2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AC3A098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HU03: RF04. </w:t>
            </w:r>
          </w:p>
        </w:tc>
      </w:tr>
      <w:tr w:rsidR="00E57237" w:rsidRPr="00E57237" w14:paraId="43FBCD2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E7D3235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HU04: RF01, RF03, RF34. </w:t>
            </w:r>
          </w:p>
        </w:tc>
      </w:tr>
      <w:tr w:rsidR="00E57237" w:rsidRPr="00E57237" w14:paraId="76E83CFE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DFA5053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HU05: RF24. </w:t>
            </w:r>
          </w:p>
        </w:tc>
      </w:tr>
      <w:tr w:rsidR="00E57237" w:rsidRPr="00E57237" w14:paraId="22C3A7B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678C8FF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HU06: RF05. </w:t>
            </w:r>
          </w:p>
        </w:tc>
      </w:tr>
      <w:tr w:rsidR="00E57237" w:rsidRPr="00E57237" w14:paraId="281BCF2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7050EF6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HU07: RF05, RF19. </w:t>
            </w:r>
          </w:p>
        </w:tc>
      </w:tr>
      <w:tr w:rsidR="00E57237" w:rsidRPr="00E57237" w14:paraId="30DA8DA5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DE6F890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HU08: RF05, RF06. </w:t>
            </w:r>
          </w:p>
        </w:tc>
      </w:tr>
      <w:tr w:rsidR="00E57237" w:rsidRPr="00E57237" w14:paraId="740D098F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B78CAE8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lastRenderedPageBreak/>
              <w:t xml:space="preserve">HU09: RF08, RF33. </w:t>
            </w:r>
          </w:p>
        </w:tc>
      </w:tr>
      <w:tr w:rsidR="00E57237" w:rsidRPr="00E57237" w14:paraId="05E9A671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334A6A4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HU10: RF33. </w:t>
            </w:r>
          </w:p>
        </w:tc>
      </w:tr>
      <w:tr w:rsidR="00E57237" w:rsidRPr="00E57237" w14:paraId="5887E180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FA2EDC0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HU11: RF06, RF14. </w:t>
            </w:r>
          </w:p>
        </w:tc>
      </w:tr>
      <w:tr w:rsidR="00E57237" w:rsidRPr="00E57237" w14:paraId="6985AE9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FE2C3FD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HU12: RF18. </w:t>
            </w:r>
          </w:p>
        </w:tc>
      </w:tr>
      <w:tr w:rsidR="00E57237" w:rsidRPr="00E57237" w14:paraId="2F1E6AA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8884726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HU13: RF35. </w:t>
            </w:r>
          </w:p>
        </w:tc>
      </w:tr>
      <w:tr w:rsidR="00E57237" w:rsidRPr="00E57237" w14:paraId="1C29D63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CEE4715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HU14: RF07, RF08, RF20. </w:t>
            </w:r>
          </w:p>
        </w:tc>
      </w:tr>
      <w:tr w:rsidR="00E57237" w:rsidRPr="00E57237" w14:paraId="55D60DED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C0C7AF7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HU15: RF07. </w:t>
            </w:r>
          </w:p>
        </w:tc>
      </w:tr>
      <w:tr w:rsidR="00E57237" w:rsidRPr="00E57237" w14:paraId="4A8CF79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FE11FC8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HU16: RF09, RF22, RF23. </w:t>
            </w:r>
          </w:p>
        </w:tc>
      </w:tr>
      <w:tr w:rsidR="00E57237" w:rsidRPr="00E57237" w14:paraId="2C7B263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D038E69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HU17: RF27, RF28. </w:t>
            </w:r>
          </w:p>
        </w:tc>
      </w:tr>
      <w:tr w:rsidR="00E57237" w:rsidRPr="00E57237" w14:paraId="43D9482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B75DE2E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HU18: RF27, RF28. </w:t>
            </w:r>
          </w:p>
        </w:tc>
      </w:tr>
      <w:tr w:rsidR="00E57237" w:rsidRPr="00E57237" w14:paraId="1EB4D406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1B1D7EA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HU19: RF10. </w:t>
            </w:r>
          </w:p>
        </w:tc>
      </w:tr>
      <w:tr w:rsidR="00E57237" w:rsidRPr="00E57237" w14:paraId="3C455EF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A369D83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HU20: RF11. </w:t>
            </w:r>
          </w:p>
        </w:tc>
      </w:tr>
      <w:tr w:rsidR="00E57237" w:rsidRPr="00E57237" w14:paraId="0DB9EBE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C59024C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HU21: RF12. </w:t>
            </w:r>
          </w:p>
        </w:tc>
      </w:tr>
      <w:tr w:rsidR="00E57237" w:rsidRPr="00E57237" w14:paraId="6FF90A01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09C1C5E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HU22: RF13. </w:t>
            </w:r>
          </w:p>
        </w:tc>
      </w:tr>
      <w:tr w:rsidR="00E57237" w:rsidRPr="00E57237" w14:paraId="1AD509E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001A99F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HU23: RF33. </w:t>
            </w:r>
          </w:p>
        </w:tc>
      </w:tr>
      <w:tr w:rsidR="00E57237" w:rsidRPr="00E57237" w14:paraId="20D9DE7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79E9FE9E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HU24: NRF10 / RNF10. </w:t>
            </w:r>
          </w:p>
        </w:tc>
      </w:tr>
      <w:tr w:rsidR="00E57237" w:rsidRPr="00E57237" w14:paraId="5225BD7E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1389129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HU25: RF36. </w:t>
            </w:r>
          </w:p>
        </w:tc>
      </w:tr>
      <w:tr w:rsidR="00E57237" w:rsidRPr="00E57237" w14:paraId="09A6379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CE35E52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HU26: RF32. </w:t>
            </w:r>
          </w:p>
        </w:tc>
      </w:tr>
      <w:tr w:rsidR="00E57237" w:rsidRPr="00E57237" w14:paraId="719589A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8AEB654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HU27: RF32. </w:t>
            </w:r>
          </w:p>
        </w:tc>
      </w:tr>
      <w:tr w:rsidR="00E57237" w:rsidRPr="00E57237" w14:paraId="47EB724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0CDF2E2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HU28: RF32, RF33. </w:t>
            </w:r>
          </w:p>
        </w:tc>
      </w:tr>
      <w:tr w:rsidR="00E57237" w:rsidRPr="00E57237" w14:paraId="55458DA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E8C3E7A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HU29: RF26. </w:t>
            </w:r>
          </w:p>
        </w:tc>
      </w:tr>
      <w:tr w:rsidR="00E57237" w:rsidRPr="00E57237" w14:paraId="7CE46CC4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8576C58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HU30: RF15, RF29. </w:t>
            </w:r>
          </w:p>
        </w:tc>
      </w:tr>
      <w:tr w:rsidR="00E57237" w:rsidRPr="00E57237" w14:paraId="0C1146B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22DA49F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HU31: RF15, RF25, RF29. </w:t>
            </w:r>
          </w:p>
        </w:tc>
      </w:tr>
      <w:tr w:rsidR="00E57237" w:rsidRPr="00E57237" w14:paraId="4B69E15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DD1F9D4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HU32: RF37. </w:t>
            </w:r>
          </w:p>
        </w:tc>
      </w:tr>
      <w:tr w:rsidR="00E57237" w:rsidRPr="00E57237" w14:paraId="1EC90885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7F72166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HU33: RF16, RF17, RF19, RF20, RF21, RF30, RF31, RF32. </w:t>
            </w:r>
          </w:p>
        </w:tc>
      </w:tr>
      <w:tr w:rsidR="00E57237" w:rsidRPr="00E57237" w14:paraId="5D549AC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1588E37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HU34: RNF19, NRF-05. </w:t>
            </w:r>
          </w:p>
        </w:tc>
      </w:tr>
      <w:tr w:rsidR="00E57237" w:rsidRPr="00E57237" w14:paraId="0176008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1C303D0" w14:textId="77777777" w:rsidR="00E57237" w:rsidRPr="00E57237" w:rsidRDefault="00E57237" w:rsidP="00213C0F">
            <w:pPr>
              <w:numPr>
                <w:ilvl w:val="0"/>
                <w:numId w:val="11"/>
              </w:numPr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HU35: RNF04. </w:t>
            </w:r>
          </w:p>
        </w:tc>
      </w:tr>
    </w:tbl>
    <w:p w14:paraId="5E387D4B" w14:textId="77777777" w:rsidR="00E57237" w:rsidRPr="00E57237" w:rsidRDefault="00E57237">
      <w:pPr>
        <w:rPr>
          <w:rFonts w:ascii="Arial" w:hAnsi="Arial" w:cs="Arial"/>
          <w:lang w:val="es-CL"/>
        </w:rPr>
      </w:pPr>
    </w:p>
    <w:p w14:paraId="67D5B9DB" w14:textId="77777777" w:rsidR="00E57237" w:rsidRPr="00E57237" w:rsidRDefault="00E57237">
      <w:pPr>
        <w:rPr>
          <w:rFonts w:ascii="Arial" w:hAnsi="Arial" w:cs="Arial"/>
          <w:lang w:val="es-CL"/>
        </w:rPr>
      </w:pPr>
    </w:p>
    <w:p w14:paraId="00EF7C9C" w14:textId="77777777" w:rsidR="00E57237" w:rsidRPr="00E57237" w:rsidRDefault="00E57237">
      <w:pPr>
        <w:rPr>
          <w:rFonts w:ascii="Arial" w:hAnsi="Arial" w:cs="Arial"/>
          <w:lang w:val="es-CL"/>
        </w:rPr>
      </w:pPr>
    </w:p>
    <w:p w14:paraId="5D62F9FD" w14:textId="77777777" w:rsidR="00EA3504" w:rsidRPr="00E57237" w:rsidRDefault="00000000">
      <w:pPr>
        <w:pStyle w:val="Heading1"/>
        <w:rPr>
          <w:rFonts w:ascii="Arial" w:hAnsi="Arial" w:cs="Arial"/>
          <w:sz w:val="22"/>
          <w:szCs w:val="22"/>
          <w:lang w:val="es-CL"/>
        </w:rPr>
      </w:pPr>
      <w:bookmarkStart w:id="8" w:name="h9"/>
      <w:r w:rsidRPr="00E57237">
        <w:rPr>
          <w:rFonts w:ascii="Arial" w:hAnsi="Arial" w:cs="Arial"/>
          <w:sz w:val="22"/>
          <w:szCs w:val="22"/>
          <w:lang w:val="es-CL"/>
        </w:rPr>
        <w:lastRenderedPageBreak/>
        <w:t xml:space="preserve">9 </w:t>
      </w:r>
      <w:proofErr w:type="gramStart"/>
      <w:r w:rsidRPr="00E57237">
        <w:rPr>
          <w:rFonts w:ascii="Arial" w:hAnsi="Arial" w:cs="Arial"/>
          <w:sz w:val="22"/>
          <w:szCs w:val="22"/>
          <w:lang w:val="es-CL"/>
        </w:rPr>
        <w:t>Conclusiones</w:t>
      </w:r>
      <w:bookmarkEnd w:id="8"/>
      <w:proofErr w:type="gramEnd"/>
    </w:p>
    <w:p w14:paraId="391D5419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repositorio registra la no aplicabilidad del criterio SRS según su interpretación de la pauta.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 xml:space="preserve"> sí documenta y verifica requisitos a través de sus artefactos. La justificación se limita a la evaluación académica y mantiene abierta la posibilidad de consolidarlos en una especificación formal si se solicita.</w:t>
      </w:r>
    </w:p>
    <w:p w14:paraId="5A0AB6F1" w14:textId="77777777" w:rsidR="00EA3504" w:rsidRPr="00E57237" w:rsidRDefault="00EA3504">
      <w:pPr>
        <w:spacing w:after="60"/>
        <w:rPr>
          <w:rFonts w:ascii="Arial" w:hAnsi="Arial" w:cs="Arial"/>
        </w:rPr>
      </w:pPr>
    </w:p>
    <w:p w14:paraId="68192246" w14:textId="1E71E170" w:rsidR="00EA3504" w:rsidRPr="00E57237" w:rsidRDefault="00000000">
      <w:pPr>
        <w:pStyle w:val="Heading1"/>
        <w:rPr>
          <w:rFonts w:ascii="Arial" w:hAnsi="Arial" w:cs="Arial"/>
          <w:sz w:val="22"/>
          <w:szCs w:val="22"/>
        </w:rPr>
      </w:pPr>
      <w:bookmarkStart w:id="9" w:name="h10"/>
      <w:r w:rsidRPr="00E57237">
        <w:rPr>
          <w:rFonts w:ascii="Arial" w:hAnsi="Arial" w:cs="Arial"/>
          <w:sz w:val="22"/>
          <w:szCs w:val="22"/>
        </w:rPr>
        <w:t>1</w:t>
      </w:r>
      <w:r w:rsidR="00E57237" w:rsidRPr="00E57237">
        <w:rPr>
          <w:rFonts w:ascii="Arial" w:hAnsi="Arial" w:cs="Arial"/>
          <w:sz w:val="22"/>
          <w:szCs w:val="22"/>
        </w:rPr>
        <w:t>0</w:t>
      </w:r>
      <w:r w:rsidRPr="00E572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7237">
        <w:rPr>
          <w:rFonts w:ascii="Arial" w:hAnsi="Arial" w:cs="Arial"/>
          <w:sz w:val="22"/>
          <w:szCs w:val="22"/>
        </w:rPr>
        <w:t>Referencias</w:t>
      </w:r>
      <w:bookmarkEnd w:id="9"/>
      <w:proofErr w:type="spellEnd"/>
    </w:p>
    <w:p w14:paraId="2744D8C2" w14:textId="77777777" w:rsidR="00EA3504" w:rsidRPr="00E57237" w:rsidRDefault="00000000">
      <w:pPr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evidencia del proyecto corresponde a la revisión versionada del repositorio (Equipo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>, 2026). Las normas se consultaron mediante sus resúmenes públicos; no se declara certificación. Las fuentes web fueron consultadas durante esta revisión, del 03 al 04 de octubre de 2026.</w:t>
      </w:r>
    </w:p>
    <w:p w14:paraId="0012A96F" w14:textId="0645C975" w:rsidR="00EA3504" w:rsidRPr="00E57237" w:rsidRDefault="00000000">
      <w:pPr>
        <w:keepLines/>
        <w:ind w:left="432" w:hanging="432"/>
        <w:rPr>
          <w:rFonts w:ascii="Arial" w:hAnsi="Arial" w:cs="Arial"/>
        </w:rPr>
      </w:pPr>
      <w:r w:rsidRPr="00E57237">
        <w:rPr>
          <w:rFonts w:ascii="Arial" w:hAnsi="Arial" w:cs="Arial"/>
          <w:lang w:val="es-CL"/>
        </w:rPr>
        <w:t xml:space="preserve">ISO, IEC e IEEE (2018). </w:t>
      </w:r>
      <w:r w:rsidRPr="00E57237">
        <w:rPr>
          <w:rFonts w:ascii="Arial" w:hAnsi="Arial" w:cs="Arial"/>
          <w:i/>
        </w:rPr>
        <w:t xml:space="preserve">29148 Requirements engineering </w:t>
      </w:r>
      <w:proofErr w:type="spellStart"/>
      <w:r w:rsidRPr="00E57237">
        <w:rPr>
          <w:rFonts w:ascii="Arial" w:hAnsi="Arial" w:cs="Arial"/>
          <w:i/>
        </w:rPr>
        <w:t>resumen</w:t>
      </w:r>
      <w:proofErr w:type="spellEnd"/>
      <w:r w:rsidRPr="00E57237">
        <w:rPr>
          <w:rFonts w:ascii="Arial" w:hAnsi="Arial" w:cs="Arial"/>
          <w:i/>
        </w:rPr>
        <w:t xml:space="preserve"> público</w:t>
      </w:r>
      <w:r w:rsidRPr="00E57237">
        <w:rPr>
          <w:rFonts w:ascii="Arial" w:hAnsi="Arial" w:cs="Arial"/>
        </w:rPr>
        <w:t xml:space="preserve">. </w:t>
      </w:r>
      <w:hyperlink r:id="rId8">
        <w:r w:rsidRPr="00E57237">
          <w:rPr>
            <w:rFonts w:ascii="Arial" w:hAnsi="Arial" w:cs="Arial"/>
          </w:rPr>
          <w:t>https://www.iso.org/standard/72089.html</w:t>
        </w:r>
      </w:hyperlink>
    </w:p>
    <w:sectPr w:rsidR="00EA3504" w:rsidRPr="00E57237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2FF6" w14:textId="77777777" w:rsidR="009804C0" w:rsidRDefault="009804C0">
      <w:pPr>
        <w:spacing w:after="0" w:line="240" w:lineRule="auto"/>
      </w:pPr>
      <w:r>
        <w:separator/>
      </w:r>
    </w:p>
  </w:endnote>
  <w:endnote w:type="continuationSeparator" w:id="0">
    <w:p w14:paraId="77DCB512" w14:textId="77777777" w:rsidR="009804C0" w:rsidRDefault="00980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9903" w14:textId="77777777" w:rsidR="00EA3504" w:rsidRDefault="00000000"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E7AC" w14:textId="77777777" w:rsidR="009804C0" w:rsidRDefault="009804C0">
      <w:pPr>
        <w:spacing w:after="0" w:line="240" w:lineRule="auto"/>
      </w:pPr>
      <w:r>
        <w:separator/>
      </w:r>
    </w:p>
  </w:footnote>
  <w:footnote w:type="continuationSeparator" w:id="0">
    <w:p w14:paraId="5B58EB69" w14:textId="77777777" w:rsidR="009804C0" w:rsidRDefault="00980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4CD2" w14:textId="66CB462A" w:rsidR="00EA3504" w:rsidRPr="00E57237" w:rsidRDefault="00E57237">
    <w:pPr>
      <w:spacing w:after="0"/>
      <w:rPr>
        <w:lang w:val="es-C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F4FA8FA" wp14:editId="71B1669A">
          <wp:simplePos x="0" y="0"/>
          <wp:positionH relativeFrom="column">
            <wp:posOffset>-622935</wp:posOffset>
          </wp:positionH>
          <wp:positionV relativeFrom="paragraph">
            <wp:posOffset>-262255</wp:posOffset>
          </wp:positionV>
          <wp:extent cx="1996440" cy="476250"/>
          <wp:effectExtent l="0" t="0" r="3810" b="0"/>
          <wp:wrapTight wrapText="bothSides">
            <wp:wrapPolygon edited="0">
              <wp:start x="19168" y="0"/>
              <wp:lineTo x="0" y="3456"/>
              <wp:lineTo x="0" y="20736"/>
              <wp:lineTo x="412" y="20736"/>
              <wp:lineTo x="21023" y="20736"/>
              <wp:lineTo x="21435" y="18144"/>
              <wp:lineTo x="21435" y="432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D178CA"/>
    <w:multiLevelType w:val="multilevel"/>
    <w:tmpl w:val="855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53556"/>
    <w:multiLevelType w:val="multilevel"/>
    <w:tmpl w:val="BC6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5904">
    <w:abstractNumId w:val="8"/>
  </w:num>
  <w:num w:numId="2" w16cid:durableId="1511214334">
    <w:abstractNumId w:val="6"/>
  </w:num>
  <w:num w:numId="3" w16cid:durableId="684945041">
    <w:abstractNumId w:val="5"/>
  </w:num>
  <w:num w:numId="4" w16cid:durableId="79448897">
    <w:abstractNumId w:val="4"/>
  </w:num>
  <w:num w:numId="5" w16cid:durableId="903952089">
    <w:abstractNumId w:val="7"/>
  </w:num>
  <w:num w:numId="6" w16cid:durableId="1156260973">
    <w:abstractNumId w:val="3"/>
  </w:num>
  <w:num w:numId="7" w16cid:durableId="791439546">
    <w:abstractNumId w:val="2"/>
  </w:num>
  <w:num w:numId="8" w16cid:durableId="1773697312">
    <w:abstractNumId w:val="1"/>
  </w:num>
  <w:num w:numId="9" w16cid:durableId="831141986">
    <w:abstractNumId w:val="0"/>
  </w:num>
  <w:num w:numId="10" w16cid:durableId="1413434992">
    <w:abstractNumId w:val="9"/>
  </w:num>
  <w:num w:numId="11" w16cid:durableId="967861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04C0"/>
    <w:rsid w:val="00A71F52"/>
    <w:rsid w:val="00AA1D8D"/>
    <w:rsid w:val="00B47730"/>
    <w:rsid w:val="00CB0664"/>
    <w:rsid w:val="00E57237"/>
    <w:rsid w:val="00EA3504"/>
    <w:rsid w:val="00F81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245BA"/>
  <w14:defaultImageDpi w14:val="300"/>
  <w15:docId w15:val="{78587AD0-5702-4C52-A00A-4E7002C2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723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7237"/>
    <w:rPr>
      <w:rFonts w:ascii="Calibri" w:hAnsi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72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72089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1392</Words>
  <Characters>7659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Aplicabilidad de SRS y gestión de requisitos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Alexander II Gabriiel</cp:lastModifiedBy>
  <cp:revision>2</cp:revision>
  <dcterms:created xsi:type="dcterms:W3CDTF">2026-10-11T21:28:00Z</dcterms:created>
  <dcterms:modified xsi:type="dcterms:W3CDTF">2026-10-11T21:28:00Z</dcterms:modified>
  <cp:category/>
</cp:coreProperties>
</file>