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Arquitectura de software</w:t>
      </w:r>
    </w:p>
    <w:p>
      <w:pPr>
        <w:jc w:val="center"/>
      </w:pPr>
      <w:r>
        <w:rPr>
          <w:rFonts w:ascii="Arial" w:hAnsi="Arial"/>
          <w:i/>
          <w:sz w:val="24"/>
        </w:rPr>
        <w:t>Vista lógica y decisiones técnicas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10 · Arquitectura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docs/05_operacion_produccion/Arquitectura.md</w:t>
            </w:r>
          </w:p>
        </w:tc>
      </w:tr>
    </w:tbl>
    <w:p/>
    <w:p>
      <w:pPr>
        <w:pStyle w:val="Heading1"/>
      </w:pPr>
      <w:r>
        <w:t>1. Vista general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37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Componentes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29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React + TypeScript PWA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Experiencia de usuario, PWA, cámara, caché e IndexedDB.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Node.js + Express API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Validaciones, autenticación, autorización, reglas e integraciones.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PostgreSQL / Supabase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Persistencia multi-negocio y relaciones transaccionales.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Groq / OpenAI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Análisis visual desde backend.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Gmail / Resend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Recuperación de contraseña.</w:t>
            </w:r>
          </w:p>
        </w:tc>
      </w:tr>
      <w:tr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Vercel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Despliegue frontend y API serverless.</w:t>
            </w:r>
          </w:p>
        </w:tc>
      </w:tr>
    </w:tbl>
    <w:p/>
    <w:p>
      <w:pPr>
        <w:pStyle w:val="Heading1"/>
      </w:pPr>
      <w:r>
        <w:t>3. Principios de diseño</w:t>
      </w:r>
    </w:p>
    <w:p>
      <w:pPr>
        <w:pStyle w:val="ListBullet"/>
      </w:pPr>
      <w:r>
        <w:t>Secretos nunca expuestos al frontend.</w:t>
      </w:r>
    </w:p>
    <w:p>
      <w:pPr>
        <w:pStyle w:val="ListBullet"/>
      </w:pPr>
      <w:r>
        <w:t>Autorización y reglas críticas validadas en API.</w:t>
      </w:r>
    </w:p>
    <w:p>
      <w:pPr>
        <w:pStyle w:val="ListBullet"/>
      </w:pPr>
      <w:r>
        <w:t>PostgreSQL obligatorio en producción.</w:t>
      </w:r>
    </w:p>
    <w:p>
      <w:pPr>
        <w:pStyle w:val="ListBullet"/>
      </w:pPr>
      <w:r>
        <w:t>Aislamiento por negocio.</w:t>
      </w:r>
    </w:p>
    <w:p>
      <w:pPr>
        <w:pStyle w:val="ListBullet"/>
      </w:pPr>
      <w:r>
        <w:t>Transacciones para operaciones que modifican venta/stock/caja.</w:t>
      </w:r>
    </w:p>
    <w:p>
      <w:pPr>
        <w:pStyle w:val="ListBullet"/>
      </w:pPr>
      <w:r>
        <w:t>IA con validación humana antes de efectos persistentes.</w:t>
      </w:r>
    </w:p>
    <w:p>
      <w:pPr>
        <w:pStyle w:val="ListBullet"/>
      </w:pPr>
      <w:r>
        <w:t>Fallos de persistencia en producción no deben degradar silenciosamente a memoria.</w:t>
      </w:r>
    </w:p>
    <w:p>
      <w:pPr>
        <w:pStyle w:val="Heading1"/>
      </w:pPr>
      <w:r>
        <w:t>4. Flujo de una venta</w:t>
      </w:r>
    </w:p>
    <w:p>
      <w:pPr>
        <w:pStyle w:val="ListBullet"/>
      </w:pPr>
      <w:r>
        <w:t>PWA envía una solicitud autenticada.</w:t>
      </w:r>
    </w:p>
    <w:p>
      <w:pPr>
        <w:pStyle w:val="ListBullet"/>
      </w:pPr>
      <w:r>
        <w:t>API valida sesión, rol, negocio, stock, pagos e idempotencia.</w:t>
      </w:r>
    </w:p>
    <w:p>
      <w:pPr>
        <w:pStyle w:val="ListBullet"/>
      </w:pPr>
      <w:r>
        <w:t>API ejecuta transacción PostgreSQL.</w:t>
      </w:r>
    </w:p>
    <w:p>
      <w:pPr>
        <w:pStyle w:val="ListBullet"/>
      </w:pPr>
      <w:r>
        <w:t>Se registra venta, detalles y movimientos relacionados.</w:t>
      </w:r>
    </w:p>
    <w:p>
      <w:pPr>
        <w:pStyle w:val="ListBullet"/>
      </w:pPr>
      <w:r>
        <w:t>La respuesta confirmada vuelve al cliente solo después del resultado persistente.</w:t>
      </w:r>
    </w:p>
    <w:p>
      <w:pPr>
        <w:pStyle w:val="Heading1"/>
      </w:pPr>
      <w:r>
        <w:t>5. Decisiones de despliegue</w:t>
      </w:r>
    </w:p>
    <w:p>
      <w:pPr>
        <w:pStyle w:val="ListBullet"/>
      </w:pPr>
      <w:r>
        <w:t>Vercel para web/API.</w:t>
      </w:r>
    </w:p>
    <w:p>
      <w:pPr>
        <w:pStyle w:val="ListBullet"/>
      </w:pPr>
      <w:r>
        <w:t>Supabase PostgreSQL con Transaction Pooler para serverless.</w:t>
      </w:r>
    </w:p>
    <w:p>
      <w:pPr>
        <w:pStyle w:val="ListBullet"/>
      </w:pPr>
      <w:r>
        <w:t>Docker Compose para entorno local reproducible.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