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Calibri" w:hAnsi="Calibri"/>
          <w:b/>
          <w:color w:val="1F2937"/>
          <w:sz w:val="36"/>
        </w:rPr>
        <w:t>Proceso ETL/ELT para Localito</w:t>
      </w:r>
    </w:p>
    <w:p>
      <w:pPr>
        <w:jc w:val="center"/>
      </w:pPr>
      <w:r>
        <w:rPr>
          <w:rFonts w:ascii="Calibri" w:hAnsi="Calibri"/>
          <w:color w:val="475569"/>
          <w:sz w:val="22"/>
        </w:rPr>
        <w:t>Extracción, transformación, carga y reconciliación</w:t>
      </w:r>
    </w:p>
    <w:p/>
    <w:p>
      <w:pPr>
        <w:jc w:val="center"/>
      </w:pPr>
      <w:r>
        <w:rPr>
          <w:rFonts w:ascii="Calibri" w:hAnsi="Calibri"/>
          <w:sz w:val="21"/>
        </w:rPr>
        <w:t>Integrantes: Camilo González · Alexander Patiño · Samuel Solís</w:t>
        <w:br/>
        <w:t>Asignatura: Inteligencia de Negocios</w:t>
        <w:br/>
        <w:t>Docente: Daniel Carrasco Diaz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Los scripts se entregan como propuesta ejecutable en PostgreSQL, pero deben probarse primero en un ambiente separado. No se ejecutan sobre producción como parte de esta documentación.</w:t>
            </w:r>
          </w:p>
        </w:tc>
      </w:tr>
    </w:tbl>
    <w:p>
      <w:pPr>
        <w:pStyle w:val="Heading1"/>
      </w:pPr>
      <w:r>
        <w:t>1. Secuencia</w:t>
      </w:r>
    </w:p>
    <w:p>
      <w:pPr>
        <w:pStyle w:val="ListNumber"/>
        <w:spacing w:line="360" w:lineRule="auto"/>
      </w:pPr>
      <w:r>
        <w:t>Crear el esquema bi y las tablas dimensionales.</w:t>
      </w:r>
    </w:p>
    <w:p>
      <w:pPr>
        <w:pStyle w:val="ListNumber"/>
        <w:spacing w:line="360" w:lineRule="auto"/>
      </w:pPr>
      <w:r>
        <w:t>Generar DimFecha desde el rango temporal existente.</w:t>
      </w:r>
    </w:p>
    <w:p>
      <w:pPr>
        <w:pStyle w:val="ListNumber"/>
        <w:spacing w:line="360" w:lineRule="auto"/>
      </w:pPr>
      <w:r>
        <w:t>Cargar/actualizar dimensiones mediante business keys.</w:t>
      </w:r>
    </w:p>
    <w:p>
      <w:pPr>
        <w:pStyle w:val="ListNumber"/>
        <w:spacing w:line="360" w:lineRule="auto"/>
      </w:pPr>
      <w:r>
        <w:t>Resolver surrogate keys.</w:t>
      </w:r>
    </w:p>
    <w:p>
      <w:pPr>
        <w:pStyle w:val="ListNumber"/>
        <w:spacing w:line="360" w:lineRule="auto"/>
      </w:pPr>
      <w:r>
        <w:t>Cargar FactVentaDetalle desde ventas activas y detalle_ventas.</w:t>
      </w:r>
    </w:p>
    <w:p>
      <w:pPr>
        <w:pStyle w:val="ListNumber"/>
        <w:spacing w:line="360" w:lineRule="auto"/>
      </w:pPr>
      <w:r>
        <w:t>Ejecutar controles de calidad y reconciliación.</w:t>
      </w:r>
    </w:p>
    <w:p>
      <w:pPr>
        <w:pStyle w:val="ListNumber"/>
        <w:spacing w:line="360" w:lineRule="auto"/>
      </w:pPr>
      <w:r>
        <w:t>Actualizar vistas/medidas consumidas por Power BI.</w:t>
      </w:r>
    </w:p>
    <w:p>
      <w:pPr>
        <w:pStyle w:val="Heading1"/>
      </w:pPr>
      <w:r>
        <w:t>2. Transformaciones relevantes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4752"/>
            <w:shd w:fill="0F3D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Transformación</w:t>
            </w:r>
          </w:p>
        </w:tc>
        <w:tc>
          <w:tcPr>
            <w:tcW w:type="dxa" w:w="6192"/>
            <w:shd w:fill="0F3D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Razón</w:t>
            </w:r>
          </w:p>
        </w:tc>
      </w:tr>
      <w:tr>
        <w:trPr>
          <w:cantSplit/>
        </w:trPr>
        <w:tc>
          <w:tcPr>
            <w:tcW w:type="dxa" w:w="475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Categoría mediante LEFT JOIN productos→categorias</w:t>
            </w:r>
          </w:p>
        </w:tc>
        <w:tc>
          <w:tcPr>
            <w:tcW w:type="dxa" w:w="619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Denormalizar atributo para análisis sencillo.</w:t>
            </w:r>
          </w:p>
        </w:tc>
      </w:tr>
      <w:tr>
        <w:trPr>
          <w:cantSplit/>
        </w:trPr>
        <w:tc>
          <w:tcPr>
            <w:tcW w:type="dxa" w:w="475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TRIM método de pago; vacío→unknown</w:t>
            </w:r>
          </w:p>
        </w:tc>
        <w:tc>
          <w:tcPr>
            <w:tcW w:type="dxa" w:w="619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Evitar categorías vacías.</w:t>
            </w:r>
          </w:p>
        </w:tc>
      </w:tr>
      <w:tr>
        <w:trPr>
          <w:cantSplit/>
        </w:trPr>
        <w:tc>
          <w:tcPr>
            <w:tcW w:type="dxa" w:w="475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Prorratear descuento de venta</w:t>
            </w:r>
          </w:p>
        </w:tc>
        <w:tc>
          <w:tcPr>
            <w:tcW w:type="dxa" w:w="619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Conservar análisis por producto sin perder total neto.</w:t>
            </w:r>
          </w:p>
        </w:tc>
      </w:tr>
      <w:tr>
        <w:trPr>
          <w:cantSplit/>
        </w:trPr>
        <w:tc>
          <w:tcPr>
            <w:tcW w:type="dxa" w:w="475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Excluir venta anulada del mart neto</w:t>
            </w:r>
          </w:p>
        </w:tc>
        <w:tc>
          <w:tcPr>
            <w:tcW w:type="dxa" w:w="619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Respetar semántica del negocio.</w:t>
            </w:r>
          </w:p>
        </w:tc>
      </w:tr>
      <w:tr>
        <w:trPr>
          <w:cantSplit/>
        </w:trPr>
        <w:tc>
          <w:tcPr>
            <w:tcW w:type="dxa" w:w="475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Upsert por business key</w:t>
            </w:r>
          </w:p>
        </w:tc>
        <w:tc>
          <w:tcPr>
            <w:tcW w:type="dxa" w:w="619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Hacer cargas repetibles sin duplicar dimensiones.</w:t>
            </w:r>
          </w:p>
        </w:tc>
      </w:tr>
      <w:tr>
        <w:trPr>
          <w:cantSplit/>
        </w:trPr>
        <w:tc>
          <w:tcPr>
            <w:tcW w:type="dxa" w:w="475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Unique detalle_id_origen</w:t>
            </w:r>
          </w:p>
        </w:tc>
        <w:tc>
          <w:tcPr>
            <w:tcW w:type="dxa" w:w="619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Evitar duplicar líneas al reejecutar carga.</w:t>
            </w:r>
          </w:p>
        </w:tc>
      </w:tr>
    </w:tbl>
    <w:p>
      <w:pPr>
        <w:pStyle w:val="Heading1"/>
      </w:pPr>
      <w:r>
        <w:t>3. Calidad</w:t>
      </w:r>
    </w:p>
    <w:p>
      <w:r>
        <w:t>La condición central es que la suma del Data Mart pueda reconciliarse con las ventas activas del OLTP. Si la diferencia no es cero o no puede explicarse por una regla explícita de redondeo, el dashboard no debe publicarse como fuente confiable.</w:t>
      </w:r>
    </w:p>
    <w:p>
      <w:pPr>
        <w:pStyle w:val="Heading1"/>
      </w:pPr>
      <w:r>
        <w:t>4. Scripts entregados</w:t>
      </w:r>
    </w:p>
    <w:p>
      <w:pPr>
        <w:pStyle w:val="ListBullet"/>
        <w:spacing w:line="360" w:lineRule="auto"/>
      </w:pPr>
      <w:r>
        <w:t>01_crear_datamart_localito.sql</w:t>
      </w:r>
    </w:p>
    <w:p>
      <w:pPr>
        <w:pStyle w:val="ListBullet"/>
        <w:spacing w:line="360" w:lineRule="auto"/>
      </w:pPr>
      <w:r>
        <w:t>02_cargar_dimensiones.sql</w:t>
      </w:r>
    </w:p>
    <w:p>
      <w:pPr>
        <w:pStyle w:val="ListBullet"/>
        <w:spacing w:line="360" w:lineRule="auto"/>
      </w:pPr>
      <w:r>
        <w:t>03_cargar_fact_ventas.sql</w:t>
      </w:r>
    </w:p>
    <w:p>
      <w:pPr>
        <w:pStyle w:val="ListBullet"/>
        <w:spacing w:line="360" w:lineRule="auto"/>
      </w:pPr>
      <w:r>
        <w:t>04_vistas_kpi.sql</w:t>
      </w:r>
    </w:p>
    <w:p>
      <w:pPr>
        <w:pStyle w:val="ListBullet"/>
        <w:spacing w:line="360" w:lineRule="auto"/>
      </w:pPr>
      <w:r>
        <w:t>05_pruebas_calidad_datos.sql</w:t>
      </w:r>
    </w:p>
    <w:p>
      <w:pPr>
        <w:pStyle w:val="Heading1"/>
      </w:pPr>
      <w:r>
        <w:t>Fuentes y límites de evidencia</w:t>
      </w:r>
    </w:p>
    <w:p>
      <w:pPr>
        <w:pStyle w:val="ListBullet"/>
        <w:spacing w:line="360" w:lineRule="auto"/>
      </w:pPr>
      <w:r>
        <w:t>Examen Transversal de Inteligencia de Negocios: exige metodología Kimball, proceso ETL, modelo dimensional y dashboard relacionado.</w:t>
      </w:r>
    </w:p>
    <w:p>
      <w:pPr>
        <w:pStyle w:val="ListBullet"/>
        <w:spacing w:line="360" w:lineRule="auto"/>
      </w:pPr>
      <w:r>
        <w:t>Informe Bike Z del mismo equipo: utiliza Data Mart, esquema estrella, tabla de hechos, dimensiones, surrogate keys, ETL y Power BI.</w:t>
      </w:r>
    </w:p>
    <w:p>
      <w:pPr>
        <w:pStyle w:val="ListBullet"/>
        <w:spacing w:line="360" w:lineRule="auto"/>
      </w:pPr>
      <w:r>
        <w:t>Esquema vigente de Localito en PostgreSQL: negocios, usuarios, productos, ventas, detalle_ventas, clientes, fiado, caja y auditoría.</w:t>
      </w:r>
    </w:p>
    <w:p>
      <w:pPr>
        <w:pStyle w:val="ListBullet"/>
        <w:spacing w:line="360" w:lineRule="auto"/>
      </w:pPr>
      <w:r>
        <w:t>El bloque BI de Localito es un diseño académico implementable. Los scripts y casos de prueba no se presentan como ejecutados contra producción ni existe un archivo PBIX final mientras no se cargue un Data Mart autorizado.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6"/>
      </w:rPr>
      <w:t>LOCALITO · INTELIGENCIA DE NEGOCIOS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