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02 · Preparación de datos y evaluación</w:t>
      </w:r>
    </w:p>
    <w:p/>
    <w:p>
      <w:pPr>
        <w:jc w:val="center"/>
      </w:pPr>
      <w:r>
        <w:rPr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p>
      <w:pPr>
        <w:pStyle w:val="Heading1"/>
      </w:pPr>
      <w:r>
        <w:t>1. Preparación</w:t>
      </w:r>
    </w:p>
    <w:p>
      <w:pPr>
        <w:pStyle w:val="ListBullet"/>
      </w:pPr>
      <w:r>
        <w:t>Definir el grano del dataset: ticket, producto-día, cliente-mes, cierre de caja, etc.</w:t>
      </w:r>
    </w:p>
    <w:p>
      <w:pPr>
        <w:pStyle w:val="ListBullet"/>
      </w:pPr>
      <w:r>
        <w:t>Separar train/validation/test de forma temporal cuando exista componente de tiempo.</w:t>
      </w:r>
    </w:p>
    <w:p>
      <w:pPr>
        <w:pStyle w:val="ListBullet"/>
      </w:pPr>
      <w:r>
        <w:t>Evitar target leakage: ninguna feature puede usar información que no existía al momento de la predicción.</w:t>
      </w:r>
    </w:p>
    <w:p>
      <w:pPr>
        <w:pStyle w:val="ListBullet"/>
      </w:pPr>
      <w:r>
        <w:t>Versionar transformación y diccionario de variables.</w:t>
      </w:r>
    </w:p>
    <w:p>
      <w:pPr>
        <w:pStyle w:val="ListBullet"/>
      </w:pPr>
      <w:r>
        <w:t>Tratar missing/outliers con reglas reproducibles.</w:t>
      </w:r>
    </w:p>
    <w:p>
      <w:pPr>
        <w:pStyle w:val="ListBullet"/>
      </w:pPr>
      <w:r>
        <w:t>Minimizar PII y mantener separación por tenant cuando corresponda.</w:t>
      </w:r>
    </w:p>
    <w:p>
      <w:pPr>
        <w:pStyle w:val="Heading1"/>
      </w:pPr>
      <w:r>
        <w:t>2.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892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Buenas prácticas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Forecast</w:t>
            </w:r>
          </w:p>
        </w:tc>
        <w:tc>
          <w:tcPr>
            <w:tcW w:type="dxa" w:w="89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Holdout temporal, baseline naive, MAE/MAPE y análisis por SKU/segmento.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Clustering</w:t>
            </w:r>
          </w:p>
        </w:tc>
        <w:tc>
          <w:tcPr>
            <w:tcW w:type="dxa" w:w="89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Estandarización, estabilidad, interpretabilidad y utilidad de negocio.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Asociación</w:t>
            </w:r>
          </w:p>
        </w:tc>
        <w:tc>
          <w:tcPr>
            <w:tcW w:type="dxa" w:w="89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Comparar contra popularidad; filtrar reglas triviales.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Clasificación</w:t>
            </w:r>
          </w:p>
        </w:tc>
        <w:tc>
          <w:tcPr>
            <w:tcW w:type="dxa" w:w="89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Precision/Recall/F1 según costo de error y calibración cuando aplique.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Anomalías</w:t>
            </w:r>
          </w:p>
        </w:tc>
        <w:tc>
          <w:tcPr>
            <w:tcW w:type="dxa" w:w="89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Revisión humana; no transformar score en acusación o sanción automática.</w:t>
            </w:r>
          </w:p>
        </w:tc>
      </w:tr>
    </w:tbl>
    <w:p>
      <w:pPr>
        <w:pStyle w:val="Heading1"/>
      </w:pPr>
      <w:r>
        <w:t>3. Gobernanza</w:t>
      </w:r>
    </w:p>
    <w:p>
      <w:r>
        <w:t>Un resultado estadísticamente interesante no implica que deba desplegarse. La decisión debe considerar utilidad, explicabilidad, privacidad, sesgos, costo de operación y capacidad de revertir el cambio.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MINERÍA DE DATOS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