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Estado y Requerimientos de Seguridad</w:t>
      </w:r>
    </w:p>
    <w:p>
      <w:pPr>
        <w:jc w:val="center"/>
      </w:pPr>
      <w:r>
        <w:rPr>
          <w:rFonts w:ascii="Arial" w:hAnsi="Arial"/>
          <w:color w:val="475569"/>
          <w:sz w:val="21"/>
        </w:rPr>
        <w:t>Revisión documental y técnica de Localito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 postura actual tiene controles reales importantes, pero todavía hay validaciones críticas pendientes. El objetivo no es presentar Localito como 'seguro por defecto', sino demostrar qué controles existen, qué falta probar y qué debe priorizarse antes de usar datos reales.</w:t>
            </w:r>
          </w:p>
        </w:tc>
      </w:tr>
    </w:tbl>
    <w:p>
      <w:pPr>
        <w:pStyle w:val="Heading1"/>
      </w:pPr>
      <w:r>
        <w:t>1. Triada CIA aplicada a Localito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Pilar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Activos principales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Objetivo de seguridad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Confidencialidad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Usuarios, clientes, fiado, costos, secretos, sesiones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Solo el negocio y rol autorizados pueden acceder; minimizar datos enviados a terceros.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Integridad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Ventas, stock, caja, deuda, auditoría, suscripciones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Evitar alteraciones no autorizadas, duplicidad y reglas de negocio inconsistentes.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Disponibilidad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POS, BD, continuidad offline, correo e IA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Mantener el núcleo operativo disponible y contar con recuperación verificable.</w:t>
            </w:r>
          </w:p>
        </w:tc>
      </w:tr>
    </w:tbl>
    <w:p>
      <w:pPr>
        <w:pStyle w:val="Heading1"/>
      </w:pPr>
      <w:r>
        <w:t>2. Controles implementados con evidencia de código</w:t>
      </w:r>
    </w:p>
    <w:p>
      <w:pPr>
        <w:pStyle w:val="ListBullet"/>
      </w:pPr>
      <w:r>
        <w:t>Contraseñas derivadas con scrypt, salt aleatorio y comparación timing-safe.</w:t>
      </w:r>
    </w:p>
    <w:p>
      <w:pPr>
        <w:pStyle w:val="ListBullet"/>
      </w:pPr>
      <w:r>
        <w:t>Tokens persistentes aleatorios; el servidor almacena el hash del token y soporta expiración/revocación.</w:t>
      </w:r>
    </w:p>
    <w:p>
      <w:pPr>
        <w:pStyle w:val="ListBullet"/>
      </w:pPr>
      <w:r>
        <w:t>Autorización server-side por rol: system_admin, owner y seller.</w:t>
      </w:r>
    </w:p>
    <w:p>
      <w:pPr>
        <w:pStyle w:val="ListBullet"/>
      </w:pPr>
      <w:r>
        <w:t>TenantId se obtiene desde la sesión autenticada y las tablas principales incluyen negocio_id.</w:t>
      </w:r>
    </w:p>
    <w:p>
      <w:pPr>
        <w:pStyle w:val="ListBullet"/>
      </w:pPr>
      <w:r>
        <w:t>RLS está habilitado en tablas de negocio y el esquema revoca acceso a los roles anon/authenticated de Supabase, porque Localito usa PostgreSQL desde el servidor.</w:t>
      </w:r>
    </w:p>
    <w:p>
      <w:pPr>
        <w:pStyle w:val="ListBullet"/>
      </w:pPr>
      <w:r>
        <w:t>Helmet y CORS están activos; en producción se rechazan orígenes no configurados.</w:t>
      </w:r>
    </w:p>
    <w:p>
      <w:pPr>
        <w:pStyle w:val="ListBullet"/>
      </w:pPr>
      <w:r>
        <w:t>Login, recuperación de contraseña y flujos de IA tienen límites de solicitudes.</w:t>
      </w:r>
    </w:p>
    <w:p>
      <w:pPr>
        <w:pStyle w:val="ListBullet"/>
      </w:pPr>
      <w:r>
        <w:t>La recuperación usa respuesta genérica, token hasheado, expiración y uso único.</w:t>
      </w:r>
    </w:p>
    <w:p>
      <w:pPr>
        <w:pStyle w:val="ListBullet"/>
      </w:pPr>
      <w:r>
        <w:t>Existe auditoría por negocio/usuario y validación de payloads de venta.</w:t>
      </w:r>
    </w:p>
    <w:p>
      <w:pPr>
        <w:pStyle w:val="Heading1"/>
      </w:pPr>
      <w:r>
        <w:t>3. Brechas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Brecha</w:t>
            </w:r>
          </w:p>
        </w:tc>
        <w:tc>
          <w:tcPr>
            <w:tcW w:type="dxa" w:w="17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Secretos históricos por rotar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Rotar y revisar configuración sin exponer valores.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Secreto de sesión con fallback si falta configuración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Fail-fast en producción cuando SESSION_SECRET no está configurado.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Rate limit local al proceso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Medio/alto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Store distribuido si la API escala a múltiples instancias.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Sin SAST/SCA/secret scan dedicado en CI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Agregar controles automáticos con criterio de severidad.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Backup/restore no validado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Probar restauración antes de datos reales.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Prueba multi-tenant PostgreSQL real pendiente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Ejecutar casos cruzados y concurrentes.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MFA no implementado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Medio/alto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Evaluar para owners/admin en roadmap comercial.</w:t>
            </w:r>
          </w:p>
        </w:tc>
      </w:tr>
    </w:tbl>
    <w:p>
      <w:pPr>
        <w:pStyle w:val="Heading1"/>
      </w:pPr>
      <w:r>
        <w:t>4. Requerimientos</w:t>
      </w:r>
    </w:p>
    <w:p>
      <w:r>
        <w:t>Se definieron 16 requerimientos SEC-001 a SEC-016. La matriz completa se encuentra en la planilla maestra y separa controles implementados, parciales y pendientes.</w:t>
      </w:r>
    </w:p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