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D56"/>
          <w:sz w:val="60"/>
        </w:rPr>
        <w:t>LOCALITO</w:t>
      </w:r>
    </w:p>
    <w:p>
      <w:pPr>
        <w:jc w:val="center"/>
      </w:pPr>
      <w:r>
        <w:rPr>
          <w:rFonts w:ascii="Arial" w:hAnsi="Arial"/>
          <w:b/>
          <w:color w:val="1F2937"/>
          <w:sz w:val="36"/>
        </w:rPr>
        <w:t>Sensibilización y Reflexión Autocrítica</w:t>
      </w:r>
    </w:p>
    <w:p>
      <w:pPr>
        <w:jc w:val="center"/>
      </w:pPr>
      <w:r>
        <w:rPr>
          <w:rFonts w:ascii="Arial" w:hAnsi="Arial"/>
          <w:color w:val="475569"/>
          <w:sz w:val="21"/>
        </w:rPr>
        <w:t>Cultura de seguridad para el equipo y futuros comercios</w:t>
      </w:r>
    </w:p>
    <w:p/>
    <w:p>
      <w:pPr>
        <w:jc w:val="center"/>
      </w:pPr>
      <w:r>
        <w:rPr>
          <w:rFonts w:ascii="Arial" w:hAnsi="Arial"/>
          <w:sz w:val="20"/>
        </w:rPr>
        <w:t>Equipo: Camilo González · Alexander Patiño · Samuel Solís</w:t>
        <w:br/>
        <w:t>Septiembre 2026</w:t>
      </w:r>
    </w:p>
    <w:p>
      <w:r>
        <w:br w:type="page"/>
      </w:r>
    </w:p>
    <w:tbl>
      <w:tblPr>
        <w:tblW w:type="auto" w:w="0"/>
        <w:jc w:val="center"/>
        <w:tblLook w:firstColumn="1" w:firstRow="1" w:lastColumn="0" w:lastRow="0" w:noHBand="0" w:noVBand="1" w:val="04A0"/>
      </w:tblPr>
      <w:tblGrid>
        <w:gridCol w:w="10166"/>
      </w:tblGrid>
      <w:tr>
        <w:tc>
          <w:tcPr>
            <w:tcW w:type="dxa" w:w="10166"/>
            <w:shd w:fill="EAF2F8"/>
            <w:tcMar>
              <w:top w:w="120" w:type="dxa"/>
              <w:start w:w="120" w:type="dxa"/>
              <w:bottom w:w="120" w:type="dxa"/>
              <w:end w:w="120" w:type="dxa"/>
            </w:tcMar>
          </w:tcPr>
          <w:p>
            <w:r>
              <w:rPr>
                <w:rFonts w:ascii="Arial" w:hAnsi="Arial"/>
                <w:color w:val="1F2937"/>
                <w:sz w:val="19"/>
              </w:rPr>
              <w:t>La seguridad sostenible no depende solo del código. También depende de decisiones de configuración, manejo de credenciales, hábitos del equipo y capacidad de reconocer límites.</w:t>
            </w:r>
          </w:p>
        </w:tc>
      </w:tr>
    </w:tbl>
    <w:p>
      <w:pPr>
        <w:pStyle w:val="Heading1"/>
      </w:pPr>
      <w:r>
        <w:t>1. Enfoque comunicacional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0F3D56"/>
            <w:vAlign w:val="center"/>
            <w:tcMar>
              <w:top w:w="70" w:type="dxa"/>
              <w:start w:w="70" w:type="dxa"/>
              <w:bottom w:w="70" w:type="dxa"/>
              <w:end w:w="70" w:type="dxa"/>
            </w:tcMar>
          </w:tcPr>
          <w:p>
            <w:pPr>
              <w:jc w:val="center"/>
            </w:pPr>
            <w:r>
              <w:rPr>
                <w:rFonts w:ascii="Arial" w:hAnsi="Arial"/>
                <w:b/>
                <w:color w:val="FFFFFF"/>
                <w:sz w:val="16"/>
              </w:rPr>
              <w:t>Público</w:t>
            </w:r>
          </w:p>
        </w:tc>
        <w:tc>
          <w:tcPr>
            <w:tcW w:type="dxa" w:w="5184"/>
            <w:shd w:fill="0F3D56"/>
            <w:vAlign w:val="center"/>
            <w:tcMar>
              <w:top w:w="70" w:type="dxa"/>
              <w:start w:w="70" w:type="dxa"/>
              <w:bottom w:w="70" w:type="dxa"/>
              <w:end w:w="70" w:type="dxa"/>
            </w:tcMar>
          </w:tcPr>
          <w:p>
            <w:pPr>
              <w:jc w:val="center"/>
            </w:pPr>
            <w:r>
              <w:rPr>
                <w:rFonts w:ascii="Arial" w:hAnsi="Arial"/>
                <w:b/>
                <w:color w:val="FFFFFF"/>
                <w:sz w:val="16"/>
              </w:rPr>
              <w:t>Mensaje</w:t>
            </w:r>
          </w:p>
        </w:tc>
        <w:tc>
          <w:tcPr>
            <w:tcW w:type="dxa" w:w="3456"/>
            <w:shd w:fill="0F3D56"/>
            <w:vAlign w:val="center"/>
            <w:tcMar>
              <w:top w:w="70" w:type="dxa"/>
              <w:start w:w="70" w:type="dxa"/>
              <w:bottom w:w="70" w:type="dxa"/>
              <w:end w:w="70" w:type="dxa"/>
            </w:tcMar>
          </w:tcPr>
          <w:p>
            <w:pPr>
              <w:jc w:val="center"/>
            </w:pPr>
            <w:r>
              <w:rPr>
                <w:rFonts w:ascii="Arial" w:hAnsi="Arial"/>
                <w:b/>
                <w:color w:val="FFFFFF"/>
                <w:sz w:val="16"/>
              </w:rPr>
              <w:t>Canal / evidencia</w:t>
            </w:r>
          </w:p>
        </w:tc>
      </w:tr>
      <w:tr>
        <w:trPr>
          <w:cantSplit/>
        </w:trPr>
        <w:tc>
          <w:tcPr>
            <w:tcW w:type="dxa" w:w="2592"/>
            <w:vAlign w:val="top"/>
            <w:tcMar>
              <w:top w:w="70" w:type="dxa"/>
              <w:start w:w="70" w:type="dxa"/>
              <w:bottom w:w="70" w:type="dxa"/>
              <w:end w:w="70" w:type="dxa"/>
            </w:tcMar>
          </w:tcPr>
          <w:p>
            <w:r>
              <w:rPr>
                <w:rFonts w:ascii="Arial" w:hAnsi="Arial"/>
                <w:sz w:val="16"/>
              </w:rPr>
              <w:t>Equipo de desarrollo</w:t>
            </w:r>
          </w:p>
        </w:tc>
        <w:tc>
          <w:tcPr>
            <w:tcW w:type="dxa" w:w="5184"/>
            <w:vAlign w:val="top"/>
            <w:tcMar>
              <w:top w:w="70" w:type="dxa"/>
              <w:start w:w="70" w:type="dxa"/>
              <w:bottom w:w="70" w:type="dxa"/>
              <w:end w:w="70" w:type="dxa"/>
            </w:tcMar>
          </w:tcPr>
          <w:p>
            <w:r>
              <w:rPr>
                <w:rFonts w:ascii="Arial" w:hAnsi="Arial"/>
                <w:sz w:val="16"/>
              </w:rPr>
              <w:t>Los secretos nunca se comparten en repositorio, documentos o capturas.</w:t>
            </w:r>
          </w:p>
        </w:tc>
        <w:tc>
          <w:tcPr>
            <w:tcW w:type="dxa" w:w="3456"/>
            <w:vAlign w:val="top"/>
            <w:tcMar>
              <w:top w:w="70" w:type="dxa"/>
              <w:start w:w="70" w:type="dxa"/>
              <w:bottom w:w="70" w:type="dxa"/>
              <w:end w:w="70" w:type="dxa"/>
            </w:tcMar>
          </w:tcPr>
          <w:p>
            <w:r>
              <w:rPr>
                <w:rFonts w:ascii="Arial" w:hAnsi="Arial"/>
                <w:sz w:val="16"/>
              </w:rPr>
              <w:t>Checklist de release y revisión de código.</w:t>
            </w:r>
          </w:p>
        </w:tc>
      </w:tr>
      <w:tr>
        <w:trPr>
          <w:cantSplit/>
        </w:trPr>
        <w:tc>
          <w:tcPr>
            <w:tcW w:type="dxa" w:w="2592"/>
            <w:vAlign w:val="top"/>
            <w:tcMar>
              <w:top w:w="70" w:type="dxa"/>
              <w:start w:w="70" w:type="dxa"/>
              <w:bottom w:w="70" w:type="dxa"/>
              <w:end w:w="70" w:type="dxa"/>
            </w:tcMar>
          </w:tcPr>
          <w:p>
            <w:r>
              <w:rPr>
                <w:rFonts w:ascii="Arial" w:hAnsi="Arial"/>
                <w:sz w:val="16"/>
              </w:rPr>
              <w:t>Dueño del comercio</w:t>
            </w:r>
          </w:p>
        </w:tc>
        <w:tc>
          <w:tcPr>
            <w:tcW w:type="dxa" w:w="5184"/>
            <w:vAlign w:val="top"/>
            <w:tcMar>
              <w:top w:w="70" w:type="dxa"/>
              <w:start w:w="70" w:type="dxa"/>
              <w:bottom w:w="70" w:type="dxa"/>
              <w:end w:w="70" w:type="dxa"/>
            </w:tcMar>
          </w:tcPr>
          <w:p>
            <w:r>
              <w:rPr>
                <w:rFonts w:ascii="Arial" w:hAnsi="Arial"/>
                <w:sz w:val="16"/>
              </w:rPr>
              <w:t>Cada usuario debe usar su cuenta; no compartir acceso owner.</w:t>
            </w:r>
          </w:p>
        </w:tc>
        <w:tc>
          <w:tcPr>
            <w:tcW w:type="dxa" w:w="3456"/>
            <w:vAlign w:val="top"/>
            <w:tcMar>
              <w:top w:w="70" w:type="dxa"/>
              <w:start w:w="70" w:type="dxa"/>
              <w:bottom w:w="70" w:type="dxa"/>
              <w:end w:w="70" w:type="dxa"/>
            </w:tcMar>
          </w:tcPr>
          <w:p>
            <w:r>
              <w:rPr>
                <w:rFonts w:ascii="Arial" w:hAnsi="Arial"/>
                <w:sz w:val="16"/>
              </w:rPr>
              <w:t>Onboarding y guía breve.</w:t>
            </w:r>
          </w:p>
        </w:tc>
      </w:tr>
      <w:tr>
        <w:trPr>
          <w:cantSplit/>
        </w:trPr>
        <w:tc>
          <w:tcPr>
            <w:tcW w:type="dxa" w:w="2592"/>
            <w:vAlign w:val="top"/>
            <w:tcMar>
              <w:top w:w="70" w:type="dxa"/>
              <w:start w:w="70" w:type="dxa"/>
              <w:bottom w:w="70" w:type="dxa"/>
              <w:end w:w="70" w:type="dxa"/>
            </w:tcMar>
          </w:tcPr>
          <w:p>
            <w:r>
              <w:rPr>
                <w:rFonts w:ascii="Arial" w:hAnsi="Arial"/>
                <w:sz w:val="16"/>
              </w:rPr>
              <w:t>Vendedor</w:t>
            </w:r>
          </w:p>
        </w:tc>
        <w:tc>
          <w:tcPr>
            <w:tcW w:type="dxa" w:w="5184"/>
            <w:vAlign w:val="top"/>
            <w:tcMar>
              <w:top w:w="70" w:type="dxa"/>
              <w:start w:w="70" w:type="dxa"/>
              <w:bottom w:w="70" w:type="dxa"/>
              <w:end w:w="70" w:type="dxa"/>
            </w:tcMar>
          </w:tcPr>
          <w:p>
            <w:r>
              <w:rPr>
                <w:rFonts w:ascii="Arial" w:hAnsi="Arial"/>
                <w:sz w:val="16"/>
              </w:rPr>
              <w:t>No reutilizar credenciales del dueño; cerrar sesión en equipos compartidos.</w:t>
            </w:r>
          </w:p>
        </w:tc>
        <w:tc>
          <w:tcPr>
            <w:tcW w:type="dxa" w:w="3456"/>
            <w:vAlign w:val="top"/>
            <w:tcMar>
              <w:top w:w="70" w:type="dxa"/>
              <w:start w:w="70" w:type="dxa"/>
              <w:bottom w:w="70" w:type="dxa"/>
              <w:end w:w="70" w:type="dxa"/>
            </w:tcMar>
          </w:tcPr>
          <w:p>
            <w:r>
              <w:rPr>
                <w:rFonts w:ascii="Arial" w:hAnsi="Arial"/>
                <w:sz w:val="16"/>
              </w:rPr>
              <w:t>Capacitación inicial.</w:t>
            </w:r>
          </w:p>
        </w:tc>
      </w:tr>
      <w:tr>
        <w:trPr>
          <w:cantSplit/>
        </w:trPr>
        <w:tc>
          <w:tcPr>
            <w:tcW w:type="dxa" w:w="2592"/>
            <w:vAlign w:val="top"/>
            <w:tcMar>
              <w:top w:w="70" w:type="dxa"/>
              <w:start w:w="70" w:type="dxa"/>
              <w:bottom w:w="70" w:type="dxa"/>
              <w:end w:w="70" w:type="dxa"/>
            </w:tcMar>
          </w:tcPr>
          <w:p>
            <w:r>
              <w:rPr>
                <w:rFonts w:ascii="Arial" w:hAnsi="Arial"/>
                <w:sz w:val="16"/>
              </w:rPr>
              <w:t>Equipo académico</w:t>
            </w:r>
          </w:p>
        </w:tc>
        <w:tc>
          <w:tcPr>
            <w:tcW w:type="dxa" w:w="5184"/>
            <w:vAlign w:val="top"/>
            <w:tcMar>
              <w:top w:w="70" w:type="dxa"/>
              <w:start w:w="70" w:type="dxa"/>
              <w:bottom w:w="70" w:type="dxa"/>
              <w:end w:w="70" w:type="dxa"/>
            </w:tcMar>
          </w:tcPr>
          <w:p>
            <w:r>
              <w:rPr>
                <w:rFonts w:ascii="Arial" w:hAnsi="Arial"/>
                <w:sz w:val="16"/>
              </w:rPr>
              <w:t>No presentar como probado lo que aún está pendiente.</w:t>
            </w:r>
          </w:p>
        </w:tc>
        <w:tc>
          <w:tcPr>
            <w:tcW w:type="dxa" w:w="3456"/>
            <w:vAlign w:val="top"/>
            <w:tcMar>
              <w:top w:w="70" w:type="dxa"/>
              <w:start w:w="70" w:type="dxa"/>
              <w:bottom w:w="70" w:type="dxa"/>
              <w:end w:w="70" w:type="dxa"/>
            </w:tcMar>
          </w:tcPr>
          <w:p>
            <w:r>
              <w:rPr>
                <w:rFonts w:ascii="Arial" w:hAnsi="Arial"/>
                <w:sz w:val="16"/>
              </w:rPr>
              <w:t>Documentación y defensa.</w:t>
            </w:r>
          </w:p>
        </w:tc>
      </w:tr>
    </w:tbl>
    <w:p>
      <w:pPr>
        <w:pStyle w:val="Heading1"/>
      </w:pPr>
      <w:r>
        <w:t>2. Indicadores propuestos</w:t>
      </w:r>
    </w:p>
    <w:p>
      <w:pPr>
        <w:pStyle w:val="ListBullet"/>
      </w:pPr>
      <w:r>
        <w:t>Porcentaje de usuarios con acceso individual en pilotos.</w:t>
      </w:r>
    </w:p>
    <w:p>
      <w:pPr>
        <w:pStyle w:val="ListBullet"/>
      </w:pPr>
      <w:r>
        <w:t>Cantidad de secretos históricos activos: meta 0.</w:t>
      </w:r>
    </w:p>
    <w:p>
      <w:pPr>
        <w:pStyle w:val="ListBullet"/>
      </w:pPr>
      <w:r>
        <w:t>Riesgos críticos con evidencia de control antes de release: meta 100%.</w:t>
      </w:r>
    </w:p>
    <w:p>
      <w:pPr>
        <w:pStyle w:val="ListBullet"/>
      </w:pPr>
      <w:r>
        <w:t>Restauraciones de prueba exitosas: al menos una antes de datos reales.</w:t>
      </w:r>
    </w:p>
    <w:p>
      <w:pPr>
        <w:pStyle w:val="Heading1"/>
      </w:pPr>
      <w:r>
        <w:t>3. Reflexión autocrítica</w:t>
      </w:r>
    </w:p>
    <w:p>
      <w:r>
        <w:t>Localito ha mejorado su postura incorporando controles reales en autenticación, autorización, RLS, CORS, rate limiting y auditoría. Sin embargo, el mayor riesgo sería confundir estas medidas con una garantía global de seguridad. La seguridad de una aplicación SaaS depende también de configuración de producción, proveedores, procesos de despliegue, respuesta a incidentes y comportamiento de usuarios.</w:t>
      </w:r>
    </w:p>
    <w:p>
      <w:r>
        <w:t>La propuesta actual tiene límites concretos: no hay MFA, los rate limits son locales al proceso, el pipeline todavía no evidencia SAST/SCA/secret scanning dedicado y falta probar backup/restore y aislamiento en PostgreSQL real. Reconocer estas brechas fortalece la tesis porque permite priorizar trabajo verificable en lugar de sostener una postura de seguridad no demostrada.</w:t>
      </w:r>
    </w:p>
    <w:p>
      <w:r>
        <w:t>La principal lección del ramo se mantiene: una organización reactiva descubre seguridad después del incidente; un producto bien gestionado incorpora requisitos, controles y evidencia antes de que el riesgo se materialice. En Localito, eso debe expresarse mediante Scrum y el Product Backlog.</w:t>
      </w:r>
    </w:p>
    <w:p>
      <w:pPr>
        <w:pStyle w:val="Heading1"/>
      </w:pPr>
      <w:r>
        <w:t>4. Conclusión</w:t>
      </w:r>
    </w:p>
    <w:p>
      <w:r>
        <w:t>El objetivo para la defensa no es afirmar que Localito es invulnerable, sino demostrar que el equipo comprende sus activos, amenazas, controles, límites y prioridades de cierre, y que puede evolucionar la seguridad junto con el producto.</w:t>
      </w:r>
    </w:p>
    <w:p>
      <w:pPr>
        <w:pStyle w:val="Heading1"/>
      </w:pPr>
      <w:r>
        <w:t>Fuentes base y criterio de evidencia</w:t>
      </w:r>
    </w:p>
    <w:p>
      <w:pPr>
        <w:pStyle w:val="ListBullet"/>
      </w:pPr>
      <w:r>
        <w:t>Pauta y trabajo de Seguridad en Sistemas Computacionales: levantamiento de requerimientos, análisis de ciberseguridad, políticas, desarrollo seguro, reflexión crítica y sensibilización.</w:t>
      </w:r>
    </w:p>
    <w:p>
      <w:pPr>
        <w:pStyle w:val="ListBullet"/>
      </w:pPr>
      <w:r>
        <w:t>Evaluación práctica del ramo: reconocimiento, CVE/CVSS, vulnerabilidades web y principio de defensa en profundidad; sus técnicas ofensivas no se trasladan como pruebas no autorizadas sobre Localito.</w:t>
      </w:r>
    </w:p>
    <w:p>
      <w:pPr>
        <w:pStyle w:val="ListBullet"/>
      </w:pPr>
      <w:r>
        <w:t>Repositorio LocalitoSaaS: auth.ts, server.ts, db/schema.sql, ci.yml y Estado-Actual.md revisados para documentar controles presentes y brechas reales.</w:t>
      </w:r>
    </w:p>
    <w:p>
      <w:pPr>
        <w:pStyle w:val="ListBullet"/>
      </w:pPr>
      <w:r>
        <w:t>Este paquete es una revisión documental y técnica del proyecto; no constituye certificación ISO, auditoría externa ni pentest de producción.</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SEGURIDAD EN SISTEMAS COMPUTACIONALES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