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Diagramas UML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Revisión documental 04 de octubre de 2026</w:t>
        <w:br/>
        <w:t>Estados de Scrum al 03 de octubre de 2026</w:t>
      </w:r>
    </w:p>
    <w:p>
      <w:pPr>
        <w:spacing w:before="400"/>
      </w:pPr>
      <w:r>
        <w:t>Este documento desarrolla diagramas uml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criterios de modelado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Diagrama de casos de uso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Diagrama de clases conceptuales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Diagrama de componentes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6">
        <w:r>
          <w:rPr>
            <w:color w:val="000000"/>
          </w:rPr>
          <w:t xml:space="preserve">6 Diagrama de secuencia de venta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7</w:t>
      </w:r>
      <w:r>
        <w:fldChar w:fldCharType="end"/>
      </w:r>
    </w:p>
    <w:p>
      <w:pPr>
        <w:pStyle w:val="TOC1"/>
      </w:pPr>
      <w:hyperlink w:anchor="h7">
        <w:r>
          <w:rPr>
            <w:color w:val="000000"/>
          </w:rPr>
          <w:t xml:space="preserve">7 Escenarios detallados de uso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7.1 CU01 Inicio de sesión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7.2 CU02 Registrar venta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7.3 CU03 Registrar venta fiada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7.4 CU04 Registrar abono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2">
        <w:r>
          <w:rPr>
            <w:color w:val="000000"/>
          </w:rPr>
          <w:t xml:space="preserve">7.5 CU05 Recepcionar compra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7.6 CU06 Preparar venta con IA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7.7 CU07 Preparar factura con IA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7.8 CU08 Sincronizar venta pendiente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7.9 CU09 Cerrar caja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9</w:t>
      </w:r>
      <w:r>
        <w:fldChar w:fldCharType="end"/>
      </w:r>
    </w:p>
    <w:p>
      <w:pPr>
        <w:pStyle w:val="TOC1"/>
      </w:pPr>
      <w:hyperlink w:anchor="h17">
        <w:r>
          <w:rPr>
            <w:color w:val="000000"/>
          </w:rPr>
          <w:t xml:space="preserve">8 Verificación de consistencia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18">
        <w:r>
          <w:rPr>
            <w:color w:val="000000"/>
          </w:rPr>
          <w:t xml:space="preserve">9 Evidencias relacionadas con esta versión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19">
        <w:r>
          <w:rPr>
            <w:color w:val="000000"/>
          </w:rPr>
          <w:t xml:space="preserve">10 Conclusiones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20">
        <w:r>
          <w:rPr>
            <w:color w:val="000000"/>
          </w:rPr>
          <w:t xml:space="preserve">11 Referencias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Este documento contiene diagramas de casos de uso, clases conceptuales, componentes y secuencia de venta. Sus figuras se construyen a partir de actores, paquetes, endpoints y esquema de Localito. El objetivo es explicar responsabilidades y relaciones, acompañando cada diagrama con escenarios y límites de interpretación.</w:t>
      </w:r>
    </w:p>
    <w:p>
      <w:pPr>
        <w:pStyle w:val="Heading1"/>
      </w:pPr>
      <w:bookmarkStart w:id="2" w:name="h2"/>
      <w:r>
        <w:t>2 Introducción y criterios de modelado</w:t>
      </w:r>
      <w:bookmarkEnd w:id="2"/>
    </w:p>
    <w:p>
      <w:r>
        <w:t>UML ofrece notación para representar estructura y comportamiento de sistemas (Object Management Group, 2017). La selección de estos diagramas responde a preguntas concretas: quién usa la solución, qué entidades relaciona, qué componentes colaboran y qué secuencia registra una venta. No se afirma que todos los tipos TypeScript sean clases instanciadas ni que un diagrama conceptual sustituya el SQL.</w:t>
      </w:r>
    </w:p>
    <w:p>
      <w:r>
        <w:t>Los modelos deben ser consistentes con Arquitectura y Modelo de Datos. La venta utiliza POST /sales según server.ts, aunque una fuente PlantUML anterior empleaba /ventas. Esta revisión corrige la representación y conserva la autenticación previa a la operación. La auditoría del endpoint se muestra después de persistir la venta.</w:t>
      </w:r>
    </w:p>
    <w:p>
      <w:pPr>
        <w:pStyle w:val="Heading1"/>
      </w:pPr>
      <w:bookmarkStart w:id="3" w:name="h3"/>
      <w:r>
        <w:t>3 Diagrama de casos de uso</w:t>
      </w:r>
      <w:bookmarkEnd w:id="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904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04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1. Actores y capacidades principales de Localito. Elaboración del equipo a partir del código y la configuración.</w:t>
      </w:r>
    </w:p>
    <w:p>
      <w:r>
        <w:t>Dueño, vendedor y administrador de plataforma tienen responsabilidades diferentes. El dueño administra y revisa; el vendedor opera según permisos; el administrador gestiona negocios y planes. La asociación muestra participación, no autoriza automáticamente todos los endpoints de una categoría. Los permisos exactos se deben comprobar contra requireRoles y casos negativos.</w:t>
      </w:r>
    </w:p>
    <w:p>
      <w:r>
        <w:t>Gestionar clientes y fiado agrupa varias operaciones. Deben descomponerse al probar creación, deuda, saldo y abono. La ayuda visual prepara información y no incluye ejecutar una venta de manera autónoma. Los proveedores externos actúan como servicios del backend y no como usuarios del comercio.</w:t>
      </w:r>
    </w:p>
    <w:p>
      <w:pPr>
        <w:pStyle w:val="Heading1"/>
      </w:pPr>
      <w:bookmarkStart w:id="4" w:name="h4"/>
      <w:r>
        <w:t>4 Diagrama de clases conceptuales</w:t>
      </w:r>
      <w:bookmarkEnd w:id="4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48056" cy="5212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8056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2. Entidades y cardinalidades del núcleo de ventas y fiado. Elaboración del equipo a partir del código y la configuración.</w:t>
      </w:r>
    </w:p>
    <w:p>
      <w:r>
        <w:t>Negocio relaciona registros de usuarios y operaciones. Venta mantiene sus detalles; Cliente relaciona cuentas fiadas; CuentaFiado relaciona abonos. Producto puede aparecer en varias líneas y movimientos. Las cardinalidades representan relaciones conceptuales uno a muchos y no significan que una venta vacía sea un resultado válido de negocio.</w:t>
      </w:r>
    </w:p>
    <w:p>
      <w:r>
        <w:t>El modelo SQL completo contiene más tablas que la figura y conserva referencias opcionales. El diccionario documenta las condiciones exactas. Este diagrama se limita a un núcleo legible para explicar el escenario principal; compra y caja se desarrollan mediante descripción y tablas en los documentos especializados.</w:t>
      </w:r>
    </w:p>
    <w:p>
      <w:pPr>
        <w:pStyle w:val="Heading1"/>
      </w:pPr>
      <w:bookmarkStart w:id="5" w:name="h5"/>
      <w:r>
        <w:t>5 Diagrama de componentes</w:t>
      </w:r>
      <w:bookmarkEnd w:id="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3105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310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3. Componentes por capa y dependencias de servicios. Elaboración del equipo a partir del código y la configuración.</w:t>
      </w:r>
    </w:p>
    <w:p>
      <w:r>
        <w:t>React PWA invoca la API mediante HTTP JSON; la API valida identidad, reglas y persistencia. PostgreSQL conserva los datos y la visión externa se invoca desde backend. IndexedDB y localStorage corresponden a usos locales acotados. No existe dependencia inversa de PostgreSQL hacia componentes React.</w:t>
      </w:r>
    </w:p>
    <w:p>
      <w:r>
        <w:t>El paquete shared se utiliza en construcción y tipos, no es una API desplegada. La vista de desarrollo de Arquitectura muestra esa relación. El despliegue serverless no convierte módulos internos en microservicios independientes.</w:t>
      </w:r>
    </w:p>
    <w:p>
      <w:pPr>
        <w:pStyle w:val="Heading1"/>
      </w:pPr>
      <w:bookmarkStart w:id="6" w:name="h6"/>
      <w:r>
        <w:t>6 Diagrama de secuencia de venta</w:t>
      </w:r>
      <w:bookmarkEnd w:id="6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9042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04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4. Secuencia y límites transaccionales de una venta. Elaboración del equipo a partir del código y la configuración.</w:t>
      </w:r>
    </w:p>
    <w:p>
      <w:r>
        <w:t>El usuario confirma, la PWA envía la clave y el servidor valida sesión y negocio. El repositorio inicia transacción, consulta precios y stock bloqueando filas y persiste la operación. El commit confirma la venta; el endpoint registra auditoría por separado y responde. Si se produce un error, la recuperación debe verificar si la venta quedó confirmada antes de generar otro intento.</w:t>
      </w:r>
    </w:p>
    <w:p>
      <w:r>
        <w:t>La figura muestra el caso satisfactorio y deja los alternativos descritos abajo. No agrega una invocación real a Webpay, Mercado Pago o SII. La caja relaciona operaciones y turnos según sus métodos; no se dibuja una actualización universal de cada tabla dentro de createSaleWithClient cuando el código no la realiza.</w:t>
      </w:r>
    </w:p>
    <w:p>
      <w:pPr>
        <w:pStyle w:val="Heading1"/>
      </w:pPr>
      <w:bookmarkStart w:id="7" w:name="h7"/>
      <w:r>
        <w:t>7 Escenarios detallados de uso</w:t>
      </w:r>
      <w:bookmarkEnd w:id="7"/>
    </w:p>
    <w:p>
      <w:pPr>
        <w:pStyle w:val="Heading2"/>
      </w:pPr>
      <w:bookmarkStart w:id="8" w:name="h8"/>
      <w:r>
        <w:t>7.1 CU01 Inicio de sesión</w:t>
      </w:r>
      <w:bookmarkEnd w:id="8"/>
    </w:p>
    <w:p>
      <w:r>
        <w:t>Actor. Dueño o vendedor.</w:t>
      </w:r>
    </w:p>
    <w:p>
      <w:r>
        <w:t>Precondición. Cuenta de prueba registrada y backend accesible.</w:t>
      </w:r>
    </w:p>
    <w:p>
      <w:r>
        <w:t>Flujo principal. Ingresar credenciales; API verifica contraseña; crea sesión; cliente recibe contexto.</w:t>
      </w:r>
    </w:p>
    <w:p>
      <w:r>
        <w:t>Alternativas. Credencial incorrecta o sesión ausente impide operaciones; no mostrar hash al usuario.</w:t>
      </w:r>
    </w:p>
    <w:p>
      <w:r>
        <w:t>Resultado a comprobar. Sesión y acceso al negocio permitido.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9" w:name="h9"/>
      <w:r>
        <w:t>7.2 CU02 Registrar venta</w:t>
      </w:r>
      <w:bookmarkEnd w:id="9"/>
    </w:p>
    <w:p>
      <w:r>
        <w:t>Actor. Vendedor.</w:t>
      </w:r>
    </w:p>
    <w:p>
      <w:r>
        <w:t>Precondición. Catálogo, productos activos y cuenta autorizada.</w:t>
      </w:r>
    </w:p>
    <w:p>
      <w:r>
        <w:t>Flujo principal. Agregar líneas; revisar ticket; elegir pago; enviar POST /sales; verificar persistencia.</w:t>
      </w:r>
    </w:p>
    <w:p>
      <w:r>
        <w:t>Alternativas. Stock insuficiente o pagos incoherentes deben rechazar sin efecto parcial.</w:t>
      </w:r>
    </w:p>
    <w:p>
      <w:r>
        <w:t>Resultado a comprobar. Venta y stock consistentes.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0" w:name="h10"/>
      <w:r>
        <w:t>7.3 CU03 Registrar venta fiada</w:t>
      </w:r>
      <w:bookmarkEnd w:id="10"/>
    </w:p>
    <w:p>
      <w:r>
        <w:t>Actor. Vendedor según permisos.</w:t>
      </w:r>
    </w:p>
    <w:p>
      <w:r>
        <w:t>Precondición. Cliente activo y condición de crédito válida.</w:t>
      </w:r>
    </w:p>
    <w:p>
      <w:r>
        <w:t>Flujo principal. Elegir cliente; preparar venta; seleccionar crédito o parte fiada; confirmar.</w:t>
      </w:r>
    </w:p>
    <w:p>
      <w:r>
        <w:t>Alternativas. Cliente bloqueado, límite excedido o cliente ajeno se rechaza.</w:t>
      </w:r>
    </w:p>
    <w:p>
      <w:r>
        <w:t>Resultado a comprobar. Cuenta de deuda relacionada a la operación.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1" w:name="h11"/>
      <w:r>
        <w:t>7.4 CU04 Registrar abono</w:t>
      </w:r>
      <w:bookmarkEnd w:id="11"/>
    </w:p>
    <w:p>
      <w:r>
        <w:t>Actor. Usuario autorizado.</w:t>
      </w:r>
    </w:p>
    <w:p>
      <w:r>
        <w:t>Precondición. Cuenta pendiente del negocio.</w:t>
      </w:r>
    </w:p>
    <w:p>
      <w:r>
        <w:t>Flujo principal. Consultar saldo; ingresar monto y método; enviar abono; revisar saldo.</w:t>
      </w:r>
    </w:p>
    <w:p>
      <w:r>
        <w:t>Alternativas. Monto inválido o cuenta ajena no produce un abono.</w:t>
      </w:r>
    </w:p>
    <w:p>
      <w:r>
        <w:t>Resultado a comprobar. Saldo y pago conservados.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2" w:name="h12"/>
      <w:r>
        <w:t>7.5 CU05 Recepcionar compra</w:t>
      </w:r>
      <w:bookmarkEnd w:id="12"/>
    </w:p>
    <w:p>
      <w:r>
        <w:t>Actor. Dueño.</w:t>
      </w:r>
    </w:p>
    <w:p>
      <w:r>
        <w:t>Precondición. Proveedor y orden del negocio.</w:t>
      </w:r>
    </w:p>
    <w:p>
      <w:r>
        <w:t>Flujo principal. Consultar pendientes; ingresar cantidades; validar; confirmar recepción.</w:t>
      </w:r>
    </w:p>
    <w:p>
      <w:r>
        <w:t>Alternativas. Cantidad no autorizada o producto ajeno se rechaza.</w:t>
      </w:r>
    </w:p>
    <w:p>
      <w:r>
        <w:t>Resultado a comprobar. Recepción y stock correspondientes.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3" w:name="h13"/>
      <w:r>
        <w:t>7.6 CU06 Preparar venta con IA</w:t>
      </w:r>
      <w:bookmarkEnd w:id="13"/>
    </w:p>
    <w:p>
      <w:r>
        <w:t>Actor. Vendedor.</w:t>
      </w:r>
    </w:p>
    <w:p>
      <w:r>
        <w:t>Precondición. Catálogo y proveedor configurados con conectividad.</w:t>
      </w:r>
    </w:p>
    <w:p>
      <w:r>
        <w:t>Flujo principal. Tomar imagen; API propone; revisar productos y cantidades; incorporar al ticket.</w:t>
      </w:r>
    </w:p>
    <w:p>
      <w:r>
        <w:t>Alternativas. Proveedor falla o producto ambiguo requiere búsqueda manual.</w:t>
      </w:r>
    </w:p>
    <w:p>
      <w:r>
        <w:t>Resultado a comprobar. Propuesta revisada sin venta automática.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4" w:name="h14"/>
      <w:r>
        <w:t>7.7 CU07 Preparar factura con IA</w:t>
      </w:r>
      <w:bookmarkEnd w:id="14"/>
    </w:p>
    <w:p>
      <w:r>
        <w:t>Actor. Dueño.</w:t>
      </w:r>
    </w:p>
    <w:p>
      <w:r>
        <w:t>Precondición. Imagen de prueba y proveedor remoto configurado.</w:t>
      </w:r>
    </w:p>
    <w:p>
      <w:r>
        <w:t>Flujo principal. Capturar; obtener líneas; revisar costo y cantidades; confirmar por flujo de importación.</w:t>
      </w:r>
    </w:p>
    <w:p>
      <w:r>
        <w:t>Alternativas. Respuesta inválida conserva estado sin recepción automática.</w:t>
      </w:r>
    </w:p>
    <w:p>
      <w:r>
        <w:t>Resultado a comprobar. Datos revisados para operación de mercadería.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5" w:name="h15"/>
      <w:r>
        <w:t>7.8 CU08 Sincronizar venta pendiente</w:t>
      </w:r>
      <w:bookmarkEnd w:id="15"/>
    </w:p>
    <w:p>
      <w:r>
        <w:t>Actor. Vendedor.</w:t>
      </w:r>
    </w:p>
    <w:p>
      <w:r>
        <w:t>Precondición. Cola de la cuenta actual y clave original.</w:t>
      </w:r>
    </w:p>
    <w:p>
      <w:r>
        <w:t>Flujo principal. Restaurar red; enviar pendiente; comprobar venta; retirar entrada aceptada.</w:t>
      </w:r>
    </w:p>
    <w:p>
      <w:r>
        <w:t>Alternativas. Rechazo permanente se conserva; cambio de sesión detiene envío.</w:t>
      </w:r>
    </w:p>
    <w:p>
      <w:r>
        <w:t>Resultado a comprobar. Cola y estado del servidor coherentes.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6" w:name="h16"/>
      <w:r>
        <w:t>7.9 CU09 Cerrar caja</w:t>
      </w:r>
      <w:bookmarkEnd w:id="16"/>
    </w:p>
    <w:p>
      <w:r>
        <w:t>Actor. Usuario autorizado.</w:t>
      </w:r>
    </w:p>
    <w:p>
      <w:r>
        <w:t>Precondición. Sesión abierta y pendientes revisados.</w:t>
      </w:r>
    </w:p>
    <w:p>
      <w:r>
        <w:t>Flujo principal. Consultar esperado; contar efectivo; registrar diferencia y motivo; confirmar.</w:t>
      </w:r>
    </w:p>
    <w:p>
      <w:r>
        <w:t>Alternativas. Falta de motivo cuando hay diferencia o pendientes requiere resolución.</w:t>
      </w:r>
    </w:p>
    <w:p>
      <w:r>
        <w:t>Resultado a comprobar. Sesión cerrada con valores auditables. La existencia del modelo no acredita ejecución del caso. Se relaciona con el catálogo de pruebas y con el requisito funcional correspondiente.</w:t>
      </w:r>
    </w:p>
    <w:p>
      <w:pPr>
        <w:pStyle w:val="Heading1"/>
      </w:pPr>
      <w:bookmarkStart w:id="17" w:name="h17"/>
      <w:r>
        <w:t>8 Verificación de consistencia</w:t>
      </w:r>
      <w:bookmarkEnd w:id="17"/>
    </w:p>
    <w:p>
      <w:r>
        <w:t>Se revisó que los actores correspondan a los roles, que los componentes correspondan a carpetas y servicios y que la secuencia use el endpoint y las reglas reales. Las figuras son elaboración propia. La validación operacional necesita ejecutar los casos y observar datos; la revisión del diagrama no sustituye esas pruebas.</w:t>
      </w:r>
    </w:p>
    <w:p>
      <w:pPr>
        <w:pStyle w:val="Heading1"/>
      </w:pPr>
      <w:bookmarkStart w:id="18" w:name="h18"/>
      <w:r>
        <w:t>9 Evidencias relacionadas con esta versión</w:t>
      </w:r>
      <w:bookmarkEnd w:id="18"/>
    </w:p>
    <w:p>
      <w: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>
      <w:pPr>
        <w:pStyle w:val="Heading1"/>
      </w:pPr>
      <w:bookmarkStart w:id="19" w:name="h19"/>
      <w:r>
        <w:t>10 Conclusiones</w:t>
      </w:r>
      <w:bookmarkEnd w:id="19"/>
    </w:p>
    <w:p>
      <w:r>
        <w:t>Los diagramas complementan las explicaciones de arquitectura y requisitos con representaciones legibles. Su aporte se sostiene en el vínculo con entidades, módulos y operaciones reales, manteniendo explícito el alcance conceptual y el estado de verificación.</w:t>
      </w:r>
    </w:p>
    <w:p>
      <w:pPr>
        <w:pStyle w:val="Heading1"/>
      </w:pPr>
      <w:bookmarkStart w:id="20" w:name="h20"/>
      <w:r>
        <w:t>11 Referencias</w:t>
      </w:r>
      <w:bookmarkEnd w:id="20"/>
    </w:p>
    <w:p>
      <w:r>
        <w:t>La evidencia del proyecto corresponde a la revisión versionada del repositorio (Equipo Localito, 2026). Las normas se consultaron mediante sus resúmenes públicos; no se declara certificación. Las fuentes web fueron consultadas durante esta revisión, del 03 al 04 de octubre de 2026.</w:t>
      </w:r>
    </w:p>
    <w:p>
      <w:pPr>
        <w:keepLines/>
        <w:ind w:left="432" w:hanging="432"/>
      </w:pPr>
      <w:r>
        <w:t xml:space="preserve">Equipo Localito (2026). </w:t>
      </w:r>
      <w:r>
        <w:rPr>
          <w:i/>
        </w:rPr>
        <w:t>LocalitoSaaS [Código y documentación, commit ddb9956cf35cfb2035f62528299fd6bb2c9b7d5c]</w:t>
      </w:r>
      <w:r>
        <w:t xml:space="preserve">. </w:t>
      </w:r>
      <w:hyperlink r:id="rId15">
        <w:r>
          <w:rPr>
            <w:color w:val="000000"/>
          </w:rPr>
          <w:t xml:space="preserve">https://github.com/CamiloGonzalezSt/LocalitoSaaS/tree/ddb9956cf35cfb2035f62528299fd6bb2c9b7d5c</w:t>
        </w:r>
      </w:hyperlink>
    </w:p>
    <w:p>
      <w:pPr>
        <w:keepLines/>
        <w:ind w:left="432" w:hanging="432"/>
      </w:pPr>
      <w:r>
        <w:t xml:space="preserve">Object Management Group (2017). </w:t>
      </w:r>
      <w:r>
        <w:rPr>
          <w:i/>
        </w:rPr>
        <w:t>Unified Modeling Language 2.5.1</w:t>
      </w:r>
      <w:r>
        <w:t xml:space="preserve">. </w:t>
      </w:r>
      <w:hyperlink r:id="rId16">
        <w:r>
          <w:rPr>
            <w:color w:val="000000"/>
          </w:rPr>
          <w:t xml:space="preserve">https://www.omg.org/spec/UML/2.5.1/About-UML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Diagramas UML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github.com/CamiloGonzalezSt/LocalitoSaaS/tree/ddb9956cf35cfb2035f62528299fd6bb2c9b7d5c" TargetMode="External"/><Relationship Id="rId16" Type="http://schemas.openxmlformats.org/officeDocument/2006/relationships/hyperlink" Target="https://www.omg.org/spec/UML/2.5.1/About-U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