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Informe de verificación de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Este documento desarrolla informe de verificación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Objetivo  alcance y ambiente</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Método y criterios de decisión</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Resultados consolidados</w:t>
        </w:r>
      </w:hyperlink>
      <w:r>
        <w:tab/>
      </w:r>
      <w:r>
        <w:fldChar w:fldCharType="begin"/>
      </w:r>
      <w:r>
        <w:instrText xml:space="preserve"> PAGEREF h4 \h </w:instrText>
      </w:r>
      <w:r>
        <w:fldChar w:fldCharType="separate"/>
      </w:r>
      <w:r>
        <w:t>4</w:t>
      </w:r>
      <w:r>
        <w:fldChar w:fldCharType="end"/>
      </w:r>
    </w:p>
    <w:p>
      <w:pPr>
        <w:pStyle w:val="TOC1"/>
      </w:pPr>
      <w:hyperlink w:anchor="h5">
        <w:r>
          <w:rPr>
            <w:color w:val="000000"/>
          </w:rPr>
          <w:t xml:space="preserve">5 Catálogo de pruebas automatizadas</w:t>
        </w:r>
      </w:hyperlink>
      <w:r>
        <w:tab/>
      </w:r>
      <w:r>
        <w:fldChar w:fldCharType="begin"/>
      </w:r>
      <w:r>
        <w:instrText xml:space="preserve"> PAGEREF h5 \h </w:instrText>
      </w:r>
      <w:r>
        <w:fldChar w:fldCharType="separate"/>
      </w:r>
      <w:r>
        <w:t>4</w:t>
      </w:r>
      <w:r>
        <w:fldChar w:fldCharType="end"/>
      </w:r>
    </w:p>
    <w:p>
      <w:pPr>
        <w:pStyle w:val="TOC1"/>
      </w:pPr>
      <w:hyperlink w:anchor="h6">
        <w:r>
          <w:rPr>
            <w:color w:val="000000"/>
          </w:rPr>
          <w:t xml:space="preserve">6 Casos de integración HTTP</w:t>
        </w:r>
      </w:hyperlink>
      <w:r>
        <w:tab/>
      </w:r>
      <w:r>
        <w:fldChar w:fldCharType="begin"/>
      </w:r>
      <w:r>
        <w:instrText xml:space="preserve"> PAGEREF h6 \h </w:instrText>
      </w:r>
      <w:r>
        <w:fldChar w:fldCharType="separate"/>
      </w:r>
      <w:r>
        <w:t>6</w:t>
      </w:r>
      <w:r>
        <w:fldChar w:fldCharType="end"/>
      </w:r>
    </w:p>
    <w:p>
      <w:pPr>
        <w:pStyle w:val="TOC1"/>
      </w:pPr>
      <w:hyperlink w:anchor="h7">
        <w:r>
          <w:rPr>
            <w:color w:val="000000"/>
          </w:rPr>
          <w:t xml:space="preserve">7 Incidencias del instrumento y bloqueos</w:t>
        </w:r>
      </w:hyperlink>
      <w:r>
        <w:tab/>
      </w:r>
      <w:r>
        <w:fldChar w:fldCharType="begin"/>
      </w:r>
      <w:r>
        <w:instrText xml:space="preserve"> PAGEREF h7 \h </w:instrText>
      </w:r>
      <w:r>
        <w:fldChar w:fldCharType="separate"/>
      </w:r>
      <w:r>
        <w:t>7</w:t>
      </w:r>
      <w:r>
        <w:fldChar w:fldCharType="end"/>
      </w:r>
    </w:p>
    <w:p>
      <w:pPr>
        <w:pStyle w:val="TOC1"/>
      </w:pPr>
      <w:hyperlink w:anchor="h8">
        <w:r>
          <w:rPr>
            <w:color w:val="000000"/>
          </w:rPr>
          <w:t xml:space="preserve">8 Reproducción de la campaña</w:t>
        </w:r>
      </w:hyperlink>
      <w:r>
        <w:tab/>
      </w:r>
      <w:r>
        <w:fldChar w:fldCharType="begin"/>
      </w:r>
      <w:r>
        <w:instrText xml:space="preserve"> PAGEREF h8 \h </w:instrText>
      </w:r>
      <w:r>
        <w:fldChar w:fldCharType="separate"/>
      </w:r>
      <w:r>
        <w:t>7</w:t>
      </w:r>
      <w:r>
        <w:fldChar w:fldCharType="end"/>
      </w:r>
    </w:p>
    <w:p>
      <w:pPr>
        <w:pStyle w:val="TOC1"/>
      </w:pPr>
      <w:hyperlink w:anchor="h9">
        <w:r>
          <w:rPr>
            <w:color w:val="000000"/>
          </w:rPr>
          <w:t xml:space="preserve">9 Evidencias  integridad y custodia</w:t>
        </w:r>
      </w:hyperlink>
      <w:r>
        <w:tab/>
      </w:r>
      <w:r>
        <w:fldChar w:fldCharType="begin"/>
      </w:r>
      <w:r>
        <w:instrText xml:space="preserve"> PAGEREF h9 \h </w:instrText>
      </w:r>
      <w:r>
        <w:fldChar w:fldCharType="separate"/>
      </w:r>
      <w:r>
        <w:t>8</w:t>
      </w:r>
      <w:r>
        <w:fldChar w:fldCharType="end"/>
      </w:r>
    </w:p>
    <w:p>
      <w:pPr>
        <w:pStyle w:val="TOC1"/>
      </w:pPr>
      <w:hyperlink w:anchor="h10">
        <w:r>
          <w:rPr>
            <w:color w:val="000000"/>
          </w:rPr>
          <w:t xml:space="preserve">10 Interpretación y acciones pendientes</w:t>
        </w:r>
      </w:hyperlink>
      <w:r>
        <w:tab/>
      </w:r>
      <w:r>
        <w:fldChar w:fldCharType="begin"/>
      </w:r>
      <w:r>
        <w:instrText xml:space="preserve"> PAGEREF h10 \h </w:instrText>
      </w:r>
      <w:r>
        <w:fldChar w:fldCharType="separate"/>
      </w:r>
      <w:r>
        <w:t>8</w:t>
      </w:r>
      <w:r>
        <w:fldChar w:fldCharType="end"/>
      </w:r>
    </w:p>
    <w:p>
      <w:pPr>
        <w:pStyle w:val="TOC1"/>
      </w:pPr>
      <w:hyperlink w:anchor="h11">
        <w:r>
          <w:rPr>
            <w:color w:val="000000"/>
          </w:rPr>
          <w:t xml:space="preserve">11 Conclusiones</w:t>
        </w:r>
      </w:hyperlink>
      <w:r>
        <w:tab/>
      </w:r>
      <w:r>
        <w:fldChar w:fldCharType="begin"/>
      </w:r>
      <w:r>
        <w:instrText xml:space="preserve"> PAGEREF h11 \h </w:instrText>
      </w:r>
      <w:r>
        <w:fldChar w:fldCharType="separate"/>
      </w:r>
      <w:r>
        <w:t>8</w:t>
      </w:r>
      <w:r>
        <w:fldChar w:fldCharType="end"/>
      </w:r>
    </w:p>
    <w:p>
      <w:pPr>
        <w:pStyle w:val="TOC1"/>
      </w:pPr>
      <w:hyperlink w:anchor="h12">
        <w:r>
          <w:rPr>
            <w:color w:val="000000"/>
          </w:rPr>
          <w:t xml:space="preserve">12 Referencias</w:t>
        </w:r>
      </w:hyperlink>
      <w:r>
        <w:tab/>
      </w:r>
      <w:r>
        <w:fldChar w:fldCharType="begin"/>
      </w:r>
      <w:r>
        <w:instrText xml:space="preserve"> PAGEREF h12 \h </w:instrText>
      </w:r>
      <w:r>
        <w:fldChar w:fldCharType="separate"/>
      </w:r>
      <w:r>
        <w:t>9</w:t>
      </w:r>
      <w:r>
        <w:fldChar w:fldCharType="end"/>
      </w:r>
      <w:r>
        <w:fldChar w:fldCharType="end"/>
      </w:r>
    </w:p>
    <w:p>
      <w:r>
        <w:br w:type="page"/>
      </w:r>
    </w:p>
    <w:p>
      <w:pPr>
        <w:pStyle w:val="Heading1"/>
      </w:pPr>
      <w:bookmarkStart w:id="1" w:name="h1"/>
      <w:r>
        <w:t>1 Resumen ejecutivo</w:t>
      </w:r>
      <w:bookmarkEnd w:id="1"/>
    </w:p>
    <w:p>
      <w:r>
        <w:t xml:space="preserve">La campaña del 04 de octubre de 2026 completó satisfactoriamente el análisis de tipos, la compilación, 78 pruebas automatizadas y 12 casos HTTP de integración local. Los resultados pertenecen al commit </w:t>
      </w:r>
      <w:r>
        <w:rPr>
          <w:rFonts w:ascii="DejaVu Sans Mono" w:hAnsi="DejaVu Sans Mono"/>
          <w:sz w:val="18"/>
        </w:rPr>
        <w:t>ddb9956cf35cfb2035f62528299fd6bb2c9b7d5c</w:t>
      </w:r>
      <w:r>
        <w:t>. Se trabajó con código descargado del repositorio y datos sintéticos; los archivos recuperados fueron verificados contra sus identificadores de blob de Git.</w:t>
      </w:r>
    </w:p>
    <w:p>
      <w:r>
        <w:t xml:space="preserve">El comando agregado </w:t>
      </w:r>
      <w:r>
        <w:rPr>
          <w:rFonts w:ascii="DejaVu Sans Mono" w:hAnsi="DejaVu Sans Mono"/>
          <w:sz w:val="18"/>
        </w:rPr>
        <w:t>npm run check</w:t>
      </w:r>
      <w:r>
        <w:t xml:space="preserve"> no terminó correctamente: después del análisis de tipos, el lanzador tsx intentó crear un canal IPC y recibió EPERM. La campaña se completó ejecutando el runner de Node con tsx como importador y sin aislamiento entre archivos. La compilación se ejecutó por separado. Por tanto, se informan componentes aprobados, sin presentar el comando original como exitoso.</w:t>
      </w:r>
    </w:p>
    <w:p>
      <w:r>
        <w:t>No se obtuvo evidencia de PostgreSQL real, restauración, navegador automatizado, dispositivos físicos ni participación de comerciantes. El resultado acredita comportamientos acotados y reproducibles; no acredita aceptación final ni ausencia total de defectos.</w:t>
      </w:r>
    </w:p>
    <w:p>
      <w:pPr>
        <w:pStyle w:val="Heading1"/>
      </w:pPr>
      <w:bookmarkStart w:id="2" w:name="h2"/>
      <w:r>
        <w:t>2 Objetivo  alcance y ambiente</w:t>
      </w:r>
      <w:bookmarkEnd w:id="2"/>
    </w:p>
    <w:p>
      <w:r>
        <w:t xml:space="preserve">Se verificaron reglas de negocio, validaciones, separación de negocios, permisos y comportamiento HTTP. El runtime fue Node.js 24.19.0 y npm 11.9.0. La instalación utilizó el lockfile con </w:t>
      </w:r>
      <w:r>
        <w:rPr>
          <w:rFonts w:ascii="DejaVu Sans Mono" w:hAnsi="DejaVu Sans Mono"/>
          <w:sz w:val="18"/>
        </w:rPr>
        <w:t>npm ci --include=dev --ignore-scripts --no-audit --no-fund</w:t>
      </w:r>
      <w:r>
        <w:t>. Se instalaron 147 paquetes. Omitir scripts de instalación fue una decisión del ambiente; debe declararse al repetir la campaña. No se ejecutó una auditoría de dependencias con ese comando.</w:t>
      </w:r>
    </w:p>
    <w:p>
      <w:r>
        <w:t xml:space="preserve">La API de integración escuchó únicamente en </w:t>
      </w:r>
      <w:r>
        <w:rPr>
          <w:rFonts w:ascii="DejaVu Sans Mono" w:hAnsi="DejaVu Sans Mono"/>
          <w:sz w:val="18"/>
        </w:rPr>
        <w:t>127.0.0.1:43201</w:t>
      </w:r>
      <w:r>
        <w:t>, con almacenamiento MemoryRepository y negocios sintéticos. Se eliminó el proceso al finalizar. La suite combina repositorio en memoria, respuestas controladas de servicios externos, un pool PostgreSQL simulado y verificaciones de estilos y almacenamiento local. Ninguno de esos dobles sustituye una base PostgreSQL ni una medición de IA con imágenes reales.</w:t>
      </w:r>
    </w:p>
    <w:p>
      <w:r>
        <w:t>El workflow del repositorio utiliza Node 22. La ejecución local con Node 24 no reemplaza ese control de integración continua. Se debe conservar el resultado de CI sobre la revisión que se entregue.</w:t>
      </w:r>
    </w:p>
    <w:p>
      <w:pPr>
        <w:pStyle w:val="Heading1"/>
      </w:pPr>
      <w:bookmarkStart w:id="3" w:name="h3"/>
      <w:r>
        <w:t>3 Método y criterios de decisión</w:t>
      </w:r>
      <w:bookmarkEnd w:id="3"/>
    </w:p>
    <w:p>
      <w:r>
        <w:t>Una prueba se considera aprobada cuando el ejecutor termina con código cero y sus aserciones se satisfacen. Los casos HTTP comprueban tanto respuesta como estado posterior cuando corresponde. La inexistencia de una herramienta o un permiso del entorno se registra como bloqueo de ejecución, no como aprobación ni como defecto confirmado del producto.</w:t>
      </w:r>
    </w:p>
    <w:p>
      <w:r>
        <w:t>Los identificadores AUT corresponden al orden de los casos superiores del TAP. El archivo informa 57 casos superiores y 21 subcasos del escenario de entradas inválidas: 78 pruebas, 78 aprobadas, cero fallidas, canceladas u omitidas. El contador incluye unidades de distinto alcance y no expresa cobertura porcentual de código ni de requisitos. El resultado HTTP se presenta por separado para evitar equiparar magnitudes.</w:t>
      </w:r>
    </w:p>
    <w:p>
      <w:pPr>
        <w:pStyle w:val="Heading1"/>
      </w:pPr>
      <w:bookmarkStart w:id="4" w:name="h4"/>
      <w:r>
        <w:t>4 Resultados consolidados</w:t>
      </w:r>
      <w:bookmarkEnd w:id="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666"/>
        <w:gridCol w:w="3821"/>
        <w:gridCol w:w="3161"/>
      </w:tblGrid>
      <w:tr>
        <w:trPr>
          <w:tblHeader/>
          <w:cantSplit/>
        </w:trPr>
        <w:tc>
          <w:tcPr>
            <w:tcW w:type="dxa" w:w="2666"/>
            <w:vAlign w:val="center"/>
            <w:shd w:fill="404040"/>
          </w:tcPr>
          <w:p>
            <w:pPr>
              <w:keepNext w:val="0"/>
              <w:spacing w:line="252" w:lineRule="auto" w:after="0"/>
            </w:pPr>
            <w:r>
              <w:rPr>
                <w:b/>
                <w:color w:val="FFFFFF"/>
                <w:sz w:val="19"/>
              </w:rPr>
              <w:t>Actividad</w:t>
            </w:r>
          </w:p>
        </w:tc>
        <w:tc>
          <w:tcPr>
            <w:tcW w:type="dxa" w:w="3821"/>
            <w:vAlign w:val="center"/>
            <w:shd w:fill="404040"/>
          </w:tcPr>
          <w:p>
            <w:pPr>
              <w:keepNext w:val="0"/>
              <w:spacing w:line="252" w:lineRule="auto" w:after="0"/>
            </w:pPr>
            <w:r>
              <w:rPr>
                <w:b/>
                <w:color w:val="FFFFFF"/>
                <w:sz w:val="19"/>
              </w:rPr>
              <w:t>Resultado</w:t>
            </w:r>
          </w:p>
        </w:tc>
        <w:tc>
          <w:tcPr>
            <w:tcW w:type="dxa" w:w="3161"/>
            <w:vAlign w:val="center"/>
            <w:shd w:fill="404040"/>
          </w:tcPr>
          <w:p>
            <w:pPr>
              <w:keepNext w:val="0"/>
              <w:spacing w:line="252" w:lineRule="auto" w:after="0"/>
            </w:pPr>
            <w:r>
              <w:rPr>
                <w:b/>
                <w:color w:val="FFFFFF"/>
                <w:sz w:val="19"/>
              </w:rPr>
              <w:t>Evidencia</w:t>
            </w:r>
          </w:p>
        </w:tc>
      </w:tr>
      <w:tr>
        <w:trPr>
          <w:cantSplit/>
        </w:trPr>
        <w:tc>
          <w:tcPr>
            <w:tcW w:type="dxa" w:w="2666"/>
            <w:vAlign w:val="center"/>
            <w:shd w:fill="FFFFFF"/>
          </w:tcPr>
          <w:p>
            <w:pPr>
              <w:keepNext w:val="0"/>
              <w:spacing w:line="252" w:lineRule="auto" w:after="0"/>
            </w:pPr>
            <w:r>
              <w:rPr>
                <w:b w:val="0"/>
                <w:color w:val="000000"/>
                <w:sz w:val="19"/>
              </w:rPr>
              <w:t>Instalación reproducible</w:t>
            </w:r>
          </w:p>
        </w:tc>
        <w:tc>
          <w:tcPr>
            <w:tcW w:type="dxa" w:w="3821"/>
            <w:vAlign w:val="center"/>
            <w:shd w:fill="FFFFFF"/>
          </w:tcPr>
          <w:p>
            <w:pPr>
              <w:keepNext w:val="0"/>
              <w:spacing w:line="252" w:lineRule="auto" w:after="0"/>
            </w:pPr>
            <w:r>
              <w:rPr>
                <w:b w:val="0"/>
                <w:color w:val="000000"/>
                <w:sz w:val="19"/>
              </w:rPr>
              <w:t>Completada; scripts de instalación omitidos</w:t>
            </w:r>
          </w:p>
        </w:tc>
        <w:tc>
          <w:tcPr>
            <w:tcW w:type="dxa" w:w="3161"/>
            <w:vAlign w:val="center"/>
            <w:shd w:fill="FFFFFF"/>
          </w:tcPr>
          <w:p>
            <w:pPr>
              <w:keepNext w:val="0"/>
              <w:spacing w:line="252" w:lineRule="auto" w:after="0"/>
              <w:jc w:val="center"/>
            </w:pPr>
            <w:r>
              <w:rPr>
                <w:b w:val="0"/>
                <w:color w:val="000000"/>
                <w:sz w:val="19"/>
              </w:rPr>
              <w:t>npm_ci.log</w:t>
            </w:r>
          </w:p>
        </w:tc>
      </w:tr>
      <w:tr>
        <w:trPr>
          <w:cantSplit/>
        </w:trPr>
        <w:tc>
          <w:tcPr>
            <w:tcW w:type="dxa" w:w="2666"/>
            <w:vAlign w:val="center"/>
            <w:shd w:fill="F4F4F4"/>
          </w:tcPr>
          <w:p>
            <w:pPr>
              <w:keepNext w:val="0"/>
              <w:spacing w:line="252" w:lineRule="auto" w:after="0"/>
            </w:pPr>
            <w:r>
              <w:rPr>
                <w:b w:val="0"/>
                <w:color w:val="000000"/>
                <w:sz w:val="19"/>
              </w:rPr>
              <w:t>Análisis de tipos web y API</w:t>
            </w:r>
          </w:p>
        </w:tc>
        <w:tc>
          <w:tcPr>
            <w:tcW w:type="dxa" w:w="3821"/>
            <w:vAlign w:val="center"/>
            <w:shd w:fill="F4F4F4"/>
          </w:tcPr>
          <w:p>
            <w:pPr>
              <w:keepNext w:val="0"/>
              <w:spacing w:line="252" w:lineRule="auto" w:after="0"/>
              <w:jc w:val="center"/>
            </w:pPr>
            <w:r>
              <w:rPr>
                <w:b w:val="0"/>
                <w:color w:val="000000"/>
                <w:sz w:val="19"/>
              </w:rPr>
              <w:t>Aprobado</w:t>
            </w:r>
          </w:p>
        </w:tc>
        <w:tc>
          <w:tcPr>
            <w:tcW w:type="dxa" w:w="3161"/>
            <w:vAlign w:val="center"/>
            <w:shd w:fill="F4F4F4"/>
          </w:tcPr>
          <w:p>
            <w:pPr>
              <w:keepNext w:val="0"/>
              <w:spacing w:line="252" w:lineRule="auto" w:after="0"/>
            </w:pPr>
            <w:r>
              <w:rPr>
                <w:b w:val="0"/>
                <w:color w:val="000000"/>
                <w:sz w:val="19"/>
              </w:rPr>
              <w:t>check.log, antes del bloqueo</w:t>
            </w:r>
          </w:p>
        </w:tc>
      </w:tr>
      <w:tr>
        <w:trPr>
          <w:cantSplit/>
        </w:trPr>
        <w:tc>
          <w:tcPr>
            <w:tcW w:type="dxa" w:w="2666"/>
            <w:vAlign w:val="center"/>
            <w:shd w:fill="FFFFFF"/>
          </w:tcPr>
          <w:p>
            <w:pPr>
              <w:keepNext w:val="0"/>
              <w:spacing w:line="252" w:lineRule="auto" w:after="0"/>
            </w:pPr>
            <w:r>
              <w:rPr>
                <w:b w:val="0"/>
                <w:color w:val="000000"/>
                <w:sz w:val="19"/>
              </w:rPr>
              <w:t>npm run check</w:t>
            </w:r>
          </w:p>
        </w:tc>
        <w:tc>
          <w:tcPr>
            <w:tcW w:type="dxa" w:w="3821"/>
            <w:vAlign w:val="center"/>
            <w:shd w:fill="FFFFFF"/>
          </w:tcPr>
          <w:p>
            <w:pPr>
              <w:keepNext w:val="0"/>
              <w:spacing w:line="252" w:lineRule="auto" w:after="0"/>
            </w:pPr>
            <w:r>
              <w:rPr>
                <w:b w:val="0"/>
                <w:color w:val="000000"/>
                <w:sz w:val="19"/>
              </w:rPr>
              <w:t>Bloqueado en lanzador tsx; salida 1</w:t>
            </w:r>
          </w:p>
        </w:tc>
        <w:tc>
          <w:tcPr>
            <w:tcW w:type="dxa" w:w="3161"/>
            <w:vAlign w:val="center"/>
            <w:shd w:fill="FFFFFF"/>
          </w:tcPr>
          <w:p>
            <w:pPr>
              <w:keepNext w:val="0"/>
              <w:spacing w:line="252" w:lineRule="auto" w:after="0"/>
            </w:pPr>
            <w:r>
              <w:rPr>
                <w:b w:val="0"/>
                <w:color w:val="000000"/>
                <w:sz w:val="19"/>
              </w:rPr>
              <w:t>check.log, check.exit</w:t>
            </w:r>
          </w:p>
        </w:tc>
      </w:tr>
      <w:tr>
        <w:trPr>
          <w:cantSplit/>
        </w:trPr>
        <w:tc>
          <w:tcPr>
            <w:tcW w:type="dxa" w:w="2666"/>
            <w:vAlign w:val="center"/>
            <w:shd w:fill="F4F4F4"/>
          </w:tcPr>
          <w:p>
            <w:pPr>
              <w:keepNext w:val="0"/>
              <w:spacing w:line="252" w:lineRule="auto" w:after="0"/>
            </w:pPr>
            <w:r>
              <w:rPr>
                <w:b w:val="0"/>
                <w:color w:val="000000"/>
                <w:sz w:val="19"/>
              </w:rPr>
              <w:t>Runner alternativo</w:t>
            </w:r>
          </w:p>
        </w:tc>
        <w:tc>
          <w:tcPr>
            <w:tcW w:type="dxa" w:w="3821"/>
            <w:vAlign w:val="center"/>
            <w:shd w:fill="F4F4F4"/>
          </w:tcPr>
          <w:p>
            <w:pPr>
              <w:keepNext w:val="0"/>
              <w:spacing w:line="252" w:lineRule="auto" w:after="0"/>
            </w:pPr>
            <w:r>
              <w:rPr>
                <w:b w:val="0"/>
                <w:color w:val="000000"/>
                <w:sz w:val="19"/>
              </w:rPr>
              <w:t>78 de 78 aprobadas; salida 0</w:t>
            </w:r>
          </w:p>
        </w:tc>
        <w:tc>
          <w:tcPr>
            <w:tcW w:type="dxa" w:w="3161"/>
            <w:vAlign w:val="center"/>
            <w:shd w:fill="F4F4F4"/>
          </w:tcPr>
          <w:p>
            <w:pPr>
              <w:keepNext w:val="0"/>
              <w:spacing w:line="252" w:lineRule="auto" w:after="0"/>
            </w:pPr>
            <w:r>
              <w:rPr>
                <w:b w:val="0"/>
                <w:color w:val="000000"/>
                <w:sz w:val="19"/>
              </w:rPr>
              <w:t>pruebas_verificadas.tap y .exit</w:t>
            </w:r>
          </w:p>
        </w:tc>
      </w:tr>
      <w:tr>
        <w:trPr>
          <w:cantSplit/>
        </w:trPr>
        <w:tc>
          <w:tcPr>
            <w:tcW w:type="dxa" w:w="2666"/>
            <w:vAlign w:val="center"/>
            <w:shd w:fill="FFFFFF"/>
          </w:tcPr>
          <w:p>
            <w:pPr>
              <w:keepNext w:val="0"/>
              <w:spacing w:line="252" w:lineRule="auto" w:after="0"/>
            </w:pPr>
            <w:r>
              <w:rPr>
                <w:b w:val="0"/>
                <w:color w:val="000000"/>
                <w:sz w:val="19"/>
              </w:rPr>
              <w:t>Compilación</w:t>
            </w:r>
          </w:p>
        </w:tc>
        <w:tc>
          <w:tcPr>
            <w:tcW w:type="dxa" w:w="3821"/>
            <w:vAlign w:val="center"/>
            <w:shd w:fill="FFFFFF"/>
          </w:tcPr>
          <w:p>
            <w:pPr>
              <w:keepNext w:val="0"/>
              <w:spacing w:line="252" w:lineRule="auto" w:after="0"/>
            </w:pPr>
            <w:r>
              <w:rPr>
                <w:b w:val="0"/>
                <w:color w:val="000000"/>
                <w:sz w:val="19"/>
              </w:rPr>
              <w:t>Shared, API y web aprobados; salida 0</w:t>
            </w:r>
          </w:p>
        </w:tc>
        <w:tc>
          <w:tcPr>
            <w:tcW w:type="dxa" w:w="3161"/>
            <w:vAlign w:val="center"/>
            <w:shd w:fill="FFFFFF"/>
          </w:tcPr>
          <w:p>
            <w:pPr>
              <w:keepNext w:val="0"/>
              <w:spacing w:line="252" w:lineRule="auto" w:after="0"/>
            </w:pPr>
            <w:r>
              <w:rPr>
                <w:b w:val="0"/>
                <w:color w:val="000000"/>
                <w:sz w:val="19"/>
              </w:rPr>
              <w:t>build.log, build.exit</w:t>
            </w:r>
          </w:p>
        </w:tc>
      </w:tr>
      <w:tr>
        <w:trPr>
          <w:cantSplit/>
        </w:trPr>
        <w:tc>
          <w:tcPr>
            <w:tcW w:type="dxa" w:w="2666"/>
            <w:vAlign w:val="center"/>
            <w:shd w:fill="F4F4F4"/>
          </w:tcPr>
          <w:p>
            <w:pPr>
              <w:keepNext w:val="0"/>
              <w:spacing w:line="252" w:lineRule="auto" w:after="0"/>
            </w:pPr>
            <w:r>
              <w:rPr>
                <w:b w:val="0"/>
                <w:color w:val="000000"/>
                <w:sz w:val="19"/>
              </w:rPr>
              <w:t>API HTTP local</w:t>
            </w:r>
          </w:p>
        </w:tc>
        <w:tc>
          <w:tcPr>
            <w:tcW w:type="dxa" w:w="3821"/>
            <w:vAlign w:val="center"/>
            <w:shd w:fill="F4F4F4"/>
          </w:tcPr>
          <w:p>
            <w:pPr>
              <w:keepNext w:val="0"/>
              <w:spacing w:line="252" w:lineRule="auto" w:after="0"/>
            </w:pPr>
            <w:r>
              <w:rPr>
                <w:b w:val="0"/>
                <w:color w:val="000000"/>
                <w:sz w:val="19"/>
              </w:rPr>
              <w:t>12 de 12 casos aprobados</w:t>
            </w:r>
          </w:p>
        </w:tc>
        <w:tc>
          <w:tcPr>
            <w:tcW w:type="dxa" w:w="3161"/>
            <w:vAlign w:val="center"/>
            <w:shd w:fill="F4F4F4"/>
          </w:tcPr>
          <w:p>
            <w:pPr>
              <w:keepNext w:val="0"/>
              <w:spacing w:line="252" w:lineRule="auto" w:after="0"/>
            </w:pPr>
            <w:r>
              <w:rPr>
                <w:b w:val="0"/>
                <w:color w:val="000000"/>
                <w:sz w:val="19"/>
              </w:rPr>
              <w:t>api_resultados.json</w:t>
            </w:r>
          </w:p>
        </w:tc>
      </w:tr>
      <w:tr>
        <w:trPr>
          <w:cantSplit/>
        </w:trPr>
        <w:tc>
          <w:tcPr>
            <w:tcW w:type="dxa" w:w="2666"/>
            <w:vAlign w:val="center"/>
            <w:shd w:fill="FFFFFF"/>
          </w:tcPr>
          <w:p>
            <w:pPr>
              <w:keepNext w:val="0"/>
              <w:spacing w:line="252" w:lineRule="auto" w:after="0"/>
            </w:pPr>
            <w:r>
              <w:rPr>
                <w:b w:val="0"/>
                <w:color w:val="000000"/>
                <w:sz w:val="19"/>
              </w:rPr>
              <w:t>Navegador automatizado</w:t>
            </w:r>
          </w:p>
        </w:tc>
        <w:tc>
          <w:tcPr>
            <w:tcW w:type="dxa" w:w="3821"/>
            <w:vAlign w:val="center"/>
            <w:shd w:fill="FFFFFF"/>
          </w:tcPr>
          <w:p>
            <w:pPr>
              <w:keepNext w:val="0"/>
              <w:spacing w:line="252" w:lineRule="auto" w:after="0"/>
            </w:pPr>
            <w:r>
              <w:rPr>
                <w:b w:val="0"/>
                <w:color w:val="000000"/>
                <w:sz w:val="19"/>
              </w:rPr>
              <w:t>No ejecutado; binario no disponible</w:t>
            </w:r>
          </w:p>
        </w:tc>
        <w:tc>
          <w:tcPr>
            <w:tcW w:type="dxa" w:w="3161"/>
            <w:vAlign w:val="center"/>
            <w:shd w:fill="FFFFFF"/>
          </w:tcPr>
          <w:p>
            <w:pPr>
              <w:keepNext w:val="0"/>
              <w:spacing w:line="252" w:lineRule="auto" w:after="0"/>
            </w:pPr>
            <w:r>
              <w:rPr>
                <w:b w:val="0"/>
                <w:color w:val="000000"/>
                <w:sz w:val="19"/>
              </w:rPr>
              <w:t>browser.log, browser_install.log</w:t>
            </w:r>
          </w:p>
        </w:tc>
      </w:tr>
      <w:tr>
        <w:trPr>
          <w:cantSplit/>
        </w:trPr>
        <w:tc>
          <w:tcPr>
            <w:tcW w:type="dxa" w:w="2666"/>
            <w:vAlign w:val="center"/>
            <w:shd w:fill="F4F4F4"/>
          </w:tcPr>
          <w:p>
            <w:pPr>
              <w:keepNext w:val="0"/>
              <w:spacing w:line="252" w:lineRule="auto" w:after="0"/>
            </w:pPr>
            <w:r>
              <w:rPr>
                <w:b w:val="0"/>
                <w:color w:val="000000"/>
                <w:sz w:val="19"/>
              </w:rPr>
              <w:t>PostgreSQL y restauración</w:t>
            </w:r>
          </w:p>
        </w:tc>
        <w:tc>
          <w:tcPr>
            <w:tcW w:type="dxa" w:w="3821"/>
            <w:vAlign w:val="center"/>
            <w:shd w:fill="F4F4F4"/>
          </w:tcPr>
          <w:p>
            <w:pPr>
              <w:keepNext w:val="0"/>
              <w:spacing w:line="252" w:lineRule="auto" w:after="0"/>
            </w:pPr>
            <w:r>
              <w:rPr>
                <w:b w:val="0"/>
                <w:color w:val="000000"/>
                <w:sz w:val="19"/>
              </w:rPr>
              <w:t>No ejecutados; sin servicio de base disponible</w:t>
            </w:r>
          </w:p>
        </w:tc>
        <w:tc>
          <w:tcPr>
            <w:tcW w:type="dxa" w:w="3161"/>
            <w:vAlign w:val="center"/>
            <w:shd w:fill="F4F4F4"/>
          </w:tcPr>
          <w:p>
            <w:pPr>
              <w:keepNext w:val="0"/>
              <w:spacing w:line="252" w:lineRule="auto" w:after="0"/>
            </w:pPr>
            <w:r>
              <w:rPr>
                <w:b w:val="0"/>
                <w:color w:val="000000"/>
                <w:sz w:val="19"/>
              </w:rPr>
              <w:t>Casos CP114–118 pendientes</w:t>
            </w:r>
          </w:p>
        </w:tc>
      </w:tr>
      <w:tr>
        <w:trPr>
          <w:cantSplit/>
        </w:trPr>
        <w:tc>
          <w:tcPr>
            <w:tcW w:type="dxa" w:w="2666"/>
            <w:vAlign w:val="center"/>
            <w:shd w:fill="FFFFFF"/>
          </w:tcPr>
          <w:p>
            <w:pPr>
              <w:keepNext w:val="0"/>
              <w:spacing w:line="252" w:lineRule="auto" w:after="0"/>
            </w:pPr>
            <w:r>
              <w:rPr>
                <w:b w:val="0"/>
                <w:color w:val="000000"/>
                <w:sz w:val="19"/>
              </w:rPr>
              <w:t>Usuarios y dispositivos físicos</w:t>
            </w:r>
          </w:p>
        </w:tc>
        <w:tc>
          <w:tcPr>
            <w:tcW w:type="dxa" w:w="3821"/>
            <w:vAlign w:val="center"/>
            <w:shd w:fill="FFFFFF"/>
          </w:tcPr>
          <w:p>
            <w:pPr>
              <w:keepNext w:val="0"/>
              <w:spacing w:line="252" w:lineRule="auto" w:after="0"/>
              <w:jc w:val="center"/>
            </w:pPr>
            <w:r>
              <w:rPr>
                <w:b w:val="0"/>
                <w:color w:val="000000"/>
                <w:sz w:val="19"/>
              </w:rPr>
              <w:t>No ejecutados</w:t>
            </w:r>
          </w:p>
        </w:tc>
        <w:tc>
          <w:tcPr>
            <w:tcW w:type="dxa" w:w="3161"/>
            <w:vAlign w:val="center"/>
            <w:shd w:fill="FFFFFF"/>
          </w:tcPr>
          <w:p>
            <w:pPr>
              <w:keepNext w:val="0"/>
              <w:spacing w:line="252" w:lineRule="auto" w:after="0"/>
            </w:pPr>
            <w:r>
              <w:rPr>
                <w:b w:val="0"/>
                <w:color w:val="000000"/>
                <w:sz w:val="19"/>
              </w:rPr>
              <w:t>Protocolo de validación preparado</w:t>
            </w:r>
          </w:p>
        </w:tc>
      </w:tr>
    </w:tbl>
    <w:p>
      <w:pPr>
        <w:spacing w:after="20"/>
      </w:pPr>
    </w:p>
    <w:p>
      <w:pPr>
        <w:pStyle w:val="Heading1"/>
      </w:pPr>
      <w:bookmarkStart w:id="5" w:name="h5"/>
      <w:r>
        <w:t>5 Catálogo de pruebas automatizadas</w:t>
      </w:r>
      <w:bookmarkEnd w:id="5"/>
    </w:p>
    <w:p>
      <w:r>
        <w:t>Se conservan los nombres originales del runner para permitir búsqueda literal en la evidencia. Todos los casos de esta tabla figuran aprobados. AUT45 contiene además los 21 subcasos contabilizados por Node.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52"/>
        <w:gridCol w:w="6696"/>
      </w:tblGrid>
      <w:tr>
        <w:trPr>
          <w:tblHeader/>
          <w:cantSplit/>
        </w:trPr>
        <w:tc>
          <w:tcPr>
            <w:tcW w:type="dxa" w:w="2952"/>
            <w:vAlign w:val="center"/>
            <w:shd w:fill="404040"/>
          </w:tcPr>
          <w:p>
            <w:pPr>
              <w:keepNext w:val="0"/>
              <w:spacing w:line="252" w:lineRule="auto" w:after="0"/>
            </w:pPr>
            <w:r>
              <w:rPr>
                <w:b/>
                <w:color w:val="FFFFFF"/>
                <w:sz w:val="19"/>
              </w:rPr>
              <w:t>Identificador</w:t>
            </w:r>
          </w:p>
        </w:tc>
        <w:tc>
          <w:tcPr>
            <w:tcW w:type="dxa" w:w="6696"/>
            <w:vAlign w:val="center"/>
            <w:shd w:fill="404040"/>
          </w:tcPr>
          <w:p>
            <w:pPr>
              <w:keepNext w:val="0"/>
              <w:spacing w:line="252" w:lineRule="auto" w:after="0"/>
            </w:pPr>
            <w:r>
              <w:rPr>
                <w:b/>
                <w:color w:val="FFFFFF"/>
                <w:sz w:val="19"/>
              </w:rPr>
              <w:t>Nombre literal en el registro</w:t>
            </w:r>
          </w:p>
        </w:tc>
      </w:tr>
      <w:tr>
        <w:trPr>
          <w:cantSplit/>
        </w:trPr>
        <w:tc>
          <w:tcPr>
            <w:tcW w:type="dxa" w:w="2952"/>
            <w:vAlign w:val="center"/>
            <w:shd w:fill="FFFFFF"/>
          </w:tcPr>
          <w:p>
            <w:pPr>
              <w:keepNext w:val="0"/>
              <w:spacing w:line="252" w:lineRule="auto" w:after="0"/>
            </w:pPr>
            <w:r>
              <w:rPr>
                <w:b w:val="0"/>
                <w:color w:val="000000"/>
                <w:sz w:val="19"/>
              </w:rPr>
              <w:t>AUT01</w:t>
            </w:r>
          </w:p>
        </w:tc>
        <w:tc>
          <w:tcPr>
            <w:tcW w:type="dxa" w:w="6696"/>
            <w:vAlign w:val="center"/>
            <w:shd w:fill="FFFFFF"/>
          </w:tcPr>
          <w:p>
            <w:pPr>
              <w:keepNext w:val="0"/>
              <w:spacing w:line="252" w:lineRule="auto" w:after="0"/>
            </w:pPr>
            <w:r>
              <w:rPr>
                <w:b w:val="0"/>
                <w:color w:val="000000"/>
                <w:sz w:val="19"/>
              </w:rPr>
              <w:t>expected domain errors do not leak as internal server failures</w:t>
            </w:r>
          </w:p>
        </w:tc>
      </w:tr>
      <w:tr>
        <w:trPr>
          <w:cantSplit/>
        </w:trPr>
        <w:tc>
          <w:tcPr>
            <w:tcW w:type="dxa" w:w="2952"/>
            <w:vAlign w:val="center"/>
            <w:shd w:fill="F4F4F4"/>
          </w:tcPr>
          <w:p>
            <w:pPr>
              <w:keepNext w:val="0"/>
              <w:spacing w:line="252" w:lineRule="auto" w:after="0"/>
            </w:pPr>
            <w:r>
              <w:rPr>
                <w:b w:val="0"/>
                <w:color w:val="000000"/>
                <w:sz w:val="19"/>
              </w:rPr>
              <w:t>AUT02</w:t>
            </w:r>
          </w:p>
        </w:tc>
        <w:tc>
          <w:tcPr>
            <w:tcW w:type="dxa" w:w="6696"/>
            <w:vAlign w:val="center"/>
            <w:shd w:fill="F4F4F4"/>
          </w:tcPr>
          <w:p>
            <w:pPr>
              <w:keepNext w:val="0"/>
              <w:spacing w:line="252" w:lineRule="auto" w:after="0"/>
            </w:pPr>
            <w:r>
              <w:rPr>
                <w:b w:val="0"/>
                <w:color w:val="000000"/>
                <w:sz w:val="19"/>
              </w:rPr>
              <w:t>production and Vercel require persistent storage</w:t>
            </w:r>
          </w:p>
        </w:tc>
      </w:tr>
      <w:tr>
        <w:trPr>
          <w:cantSplit/>
        </w:trPr>
        <w:tc>
          <w:tcPr>
            <w:tcW w:type="dxa" w:w="2952"/>
            <w:vAlign w:val="center"/>
            <w:shd w:fill="FFFFFF"/>
          </w:tcPr>
          <w:p>
            <w:pPr>
              <w:keepNext w:val="0"/>
              <w:spacing w:line="252" w:lineRule="auto" w:after="0"/>
            </w:pPr>
            <w:r>
              <w:rPr>
                <w:b w:val="0"/>
                <w:color w:val="000000"/>
                <w:sz w:val="19"/>
              </w:rPr>
              <w:t>AUT03</w:t>
            </w:r>
          </w:p>
        </w:tc>
        <w:tc>
          <w:tcPr>
            <w:tcW w:type="dxa" w:w="6696"/>
            <w:vAlign w:val="center"/>
            <w:shd w:fill="FFFFFF"/>
          </w:tcPr>
          <w:p>
            <w:pPr>
              <w:keepNext w:val="0"/>
              <w:spacing w:line="252" w:lineRule="auto" w:after="0"/>
            </w:pPr>
            <w:r>
              <w:rPr>
                <w:b w:val="0"/>
                <w:color w:val="000000"/>
                <w:sz w:val="19"/>
              </w:rPr>
              <w:t>database URL resolution ignores blank values and supports Vercel aliases</w:t>
            </w:r>
          </w:p>
        </w:tc>
      </w:tr>
      <w:tr>
        <w:trPr>
          <w:cantSplit/>
        </w:trPr>
        <w:tc>
          <w:tcPr>
            <w:tcW w:type="dxa" w:w="2952"/>
            <w:vAlign w:val="center"/>
            <w:shd w:fill="F4F4F4"/>
          </w:tcPr>
          <w:p>
            <w:pPr>
              <w:keepNext w:val="0"/>
              <w:spacing w:line="252" w:lineRule="auto" w:after="0"/>
            </w:pPr>
            <w:r>
              <w:rPr>
                <w:b w:val="0"/>
                <w:color w:val="000000"/>
                <w:sz w:val="19"/>
              </w:rPr>
              <w:t>AUT04</w:t>
            </w:r>
          </w:p>
        </w:tc>
        <w:tc>
          <w:tcPr>
            <w:tcW w:type="dxa" w:w="6696"/>
            <w:vAlign w:val="center"/>
            <w:shd w:fill="F4F4F4"/>
          </w:tcPr>
          <w:p>
            <w:pPr>
              <w:keepNext w:val="0"/>
              <w:spacing w:line="252" w:lineRule="auto" w:after="0"/>
            </w:pPr>
            <w:r>
              <w:rPr>
                <w:b w:val="0"/>
                <w:color w:val="000000"/>
                <w:sz w:val="19"/>
              </w:rPr>
              <w:t>PostgreSQL returns and cancellations reuse the held Vercel connection</w:t>
            </w:r>
          </w:p>
        </w:tc>
      </w:tr>
      <w:tr>
        <w:trPr>
          <w:cantSplit/>
        </w:trPr>
        <w:tc>
          <w:tcPr>
            <w:tcW w:type="dxa" w:w="2952"/>
            <w:vAlign w:val="center"/>
            <w:shd w:fill="FFFFFF"/>
          </w:tcPr>
          <w:p>
            <w:pPr>
              <w:keepNext w:val="0"/>
              <w:spacing w:line="252" w:lineRule="auto" w:after="0"/>
            </w:pPr>
            <w:r>
              <w:rPr>
                <w:b w:val="0"/>
                <w:color w:val="000000"/>
                <w:sz w:val="19"/>
              </w:rPr>
              <w:t>AUT05</w:t>
            </w:r>
          </w:p>
        </w:tc>
        <w:tc>
          <w:tcPr>
            <w:tcW w:type="dxa" w:w="6696"/>
            <w:vAlign w:val="center"/>
            <w:shd w:fill="FFFFFF"/>
          </w:tcPr>
          <w:p>
            <w:pPr>
              <w:keepNext w:val="0"/>
              <w:spacing w:line="252" w:lineRule="auto" w:after="0"/>
            </w:pPr>
            <w:r>
              <w:rPr>
                <w:b w:val="0"/>
                <w:color w:val="000000"/>
                <w:sz w:val="19"/>
              </w:rPr>
              <w:t>vision provider prefers Groq and supports an explicit OpenAI fallback</w:t>
            </w:r>
          </w:p>
        </w:tc>
      </w:tr>
      <w:tr>
        <w:trPr>
          <w:cantSplit/>
        </w:trPr>
        <w:tc>
          <w:tcPr>
            <w:tcW w:type="dxa" w:w="2952"/>
            <w:vAlign w:val="center"/>
            <w:shd w:fill="F4F4F4"/>
          </w:tcPr>
          <w:p>
            <w:pPr>
              <w:keepNext w:val="0"/>
              <w:spacing w:line="252" w:lineRule="auto" w:after="0"/>
            </w:pPr>
            <w:r>
              <w:rPr>
                <w:b w:val="0"/>
                <w:color w:val="000000"/>
                <w:sz w:val="19"/>
              </w:rPr>
              <w:t>AUT06</w:t>
            </w:r>
          </w:p>
        </w:tc>
        <w:tc>
          <w:tcPr>
            <w:tcW w:type="dxa" w:w="6696"/>
            <w:vAlign w:val="center"/>
            <w:shd w:fill="F4F4F4"/>
          </w:tcPr>
          <w:p>
            <w:pPr>
              <w:keepNext w:val="0"/>
              <w:spacing w:line="252" w:lineRule="auto" w:after="0"/>
            </w:pPr>
            <w:r>
              <w:rPr>
                <w:b w:val="0"/>
                <w:color w:val="000000"/>
                <w:sz w:val="19"/>
              </w:rPr>
              <w:t>vision provider explains the free quota retry time</w:t>
            </w:r>
          </w:p>
        </w:tc>
      </w:tr>
      <w:tr>
        <w:trPr>
          <w:cantSplit/>
        </w:trPr>
        <w:tc>
          <w:tcPr>
            <w:tcW w:type="dxa" w:w="2952"/>
            <w:vAlign w:val="center"/>
            <w:shd w:fill="FFFFFF"/>
          </w:tcPr>
          <w:p>
            <w:pPr>
              <w:keepNext w:val="0"/>
              <w:spacing w:line="252" w:lineRule="auto" w:after="0"/>
            </w:pPr>
            <w:r>
              <w:rPr>
                <w:b w:val="0"/>
                <w:color w:val="000000"/>
                <w:sz w:val="19"/>
              </w:rPr>
              <w:t>AUT07</w:t>
            </w:r>
          </w:p>
        </w:tc>
        <w:tc>
          <w:tcPr>
            <w:tcW w:type="dxa" w:w="6696"/>
            <w:vAlign w:val="center"/>
            <w:shd w:fill="FFFFFF"/>
          </w:tcPr>
          <w:p>
            <w:pPr>
              <w:keepNext w:val="0"/>
              <w:spacing w:line="252" w:lineRule="auto" w:after="0"/>
            </w:pPr>
            <w:r>
              <w:rPr>
                <w:b w:val="0"/>
                <w:color w:val="000000"/>
                <w:sz w:val="19"/>
              </w:rPr>
              <w:t>vision provider distinguishes its payload limit from a browser upload limit</w:t>
            </w:r>
          </w:p>
        </w:tc>
      </w:tr>
      <w:tr>
        <w:trPr>
          <w:cantSplit/>
        </w:trPr>
        <w:tc>
          <w:tcPr>
            <w:tcW w:type="dxa" w:w="2952"/>
            <w:vAlign w:val="center"/>
            <w:shd w:fill="F4F4F4"/>
          </w:tcPr>
          <w:p>
            <w:pPr>
              <w:keepNext w:val="0"/>
              <w:spacing w:line="252" w:lineRule="auto" w:after="0"/>
            </w:pPr>
            <w:r>
              <w:rPr>
                <w:b w:val="0"/>
                <w:color w:val="000000"/>
                <w:sz w:val="19"/>
              </w:rPr>
              <w:t>AUT08</w:t>
            </w:r>
          </w:p>
        </w:tc>
        <w:tc>
          <w:tcPr>
            <w:tcW w:type="dxa" w:w="6696"/>
            <w:vAlign w:val="center"/>
            <w:shd w:fill="F4F4F4"/>
          </w:tcPr>
          <w:p>
            <w:pPr>
              <w:keepNext w:val="0"/>
              <w:spacing w:line="252" w:lineRule="auto" w:after="0"/>
            </w:pPr>
            <w:r>
              <w:rPr>
                <w:b w:val="0"/>
                <w:color w:val="000000"/>
                <w:sz w:val="19"/>
              </w:rPr>
              <w:t>PostgreSQL demo seeds use stable UUIDs</w:t>
            </w:r>
          </w:p>
        </w:tc>
      </w:tr>
      <w:tr>
        <w:trPr>
          <w:cantSplit/>
        </w:trPr>
        <w:tc>
          <w:tcPr>
            <w:tcW w:type="dxa" w:w="2952"/>
            <w:vAlign w:val="center"/>
            <w:shd w:fill="FFFFFF"/>
          </w:tcPr>
          <w:p>
            <w:pPr>
              <w:keepNext w:val="0"/>
              <w:spacing w:line="252" w:lineRule="auto" w:after="0"/>
            </w:pPr>
            <w:r>
              <w:rPr>
                <w:b w:val="0"/>
                <w:color w:val="000000"/>
                <w:sz w:val="19"/>
              </w:rPr>
              <w:t>AUT09</w:t>
            </w:r>
          </w:p>
        </w:tc>
        <w:tc>
          <w:tcPr>
            <w:tcW w:type="dxa" w:w="6696"/>
            <w:vAlign w:val="center"/>
            <w:shd w:fill="FFFFFF"/>
          </w:tcPr>
          <w:p>
            <w:pPr>
              <w:keepNext w:val="0"/>
              <w:spacing w:line="252" w:lineRule="auto" w:after="0"/>
            </w:pPr>
            <w:r>
              <w:rPr>
                <w:b w:val="0"/>
                <w:color w:val="000000"/>
                <w:sz w:val="19"/>
              </w:rPr>
              <w:t>passwords and sessions use non-predictable hashes</w:t>
            </w:r>
          </w:p>
        </w:tc>
      </w:tr>
      <w:tr>
        <w:trPr>
          <w:cantSplit/>
        </w:trPr>
        <w:tc>
          <w:tcPr>
            <w:tcW w:type="dxa" w:w="2952"/>
            <w:vAlign w:val="center"/>
            <w:shd w:fill="F4F4F4"/>
          </w:tcPr>
          <w:p>
            <w:pPr>
              <w:keepNext w:val="0"/>
              <w:spacing w:line="252" w:lineRule="auto" w:after="0"/>
            </w:pPr>
            <w:r>
              <w:rPr>
                <w:b w:val="0"/>
                <w:color w:val="000000"/>
                <w:sz w:val="19"/>
              </w:rPr>
              <w:t>AUT10</w:t>
            </w:r>
          </w:p>
        </w:tc>
        <w:tc>
          <w:tcPr>
            <w:tcW w:type="dxa" w:w="6696"/>
            <w:vAlign w:val="center"/>
            <w:shd w:fill="F4F4F4"/>
          </w:tcPr>
          <w:p>
            <w:pPr>
              <w:keepNext w:val="0"/>
              <w:spacing w:line="252" w:lineRule="auto" w:after="0"/>
            </w:pPr>
            <w:r>
              <w:rPr>
                <w:b w:val="0"/>
                <w:color w:val="000000"/>
                <w:sz w:val="19"/>
              </w:rPr>
              <w:t>transactional email selects only a fully configured provider</w:t>
            </w:r>
          </w:p>
        </w:tc>
      </w:tr>
      <w:tr>
        <w:trPr>
          <w:cantSplit/>
        </w:trPr>
        <w:tc>
          <w:tcPr>
            <w:tcW w:type="dxa" w:w="2952"/>
            <w:vAlign w:val="center"/>
            <w:shd w:fill="FFFFFF"/>
          </w:tcPr>
          <w:p>
            <w:pPr>
              <w:keepNext w:val="0"/>
              <w:spacing w:line="252" w:lineRule="auto" w:after="0"/>
            </w:pPr>
            <w:r>
              <w:rPr>
                <w:b w:val="0"/>
                <w:color w:val="000000"/>
                <w:sz w:val="19"/>
              </w:rPr>
              <w:t>AUT11</w:t>
            </w:r>
          </w:p>
        </w:tc>
        <w:tc>
          <w:tcPr>
            <w:tcW w:type="dxa" w:w="6696"/>
            <w:vAlign w:val="center"/>
            <w:shd w:fill="FFFFFF"/>
          </w:tcPr>
          <w:p>
            <w:pPr>
              <w:keepNext w:val="0"/>
              <w:spacing w:line="252" w:lineRule="auto" w:after="0"/>
            </w:pPr>
            <w:r>
              <w:rPr>
                <w:b w:val="0"/>
                <w:color w:val="000000"/>
                <w:sz w:val="19"/>
              </w:rPr>
              <w:t>tenant registration is isolated and rejects duplicate emails</w:t>
            </w:r>
          </w:p>
        </w:tc>
      </w:tr>
      <w:tr>
        <w:trPr>
          <w:cantSplit/>
        </w:trPr>
        <w:tc>
          <w:tcPr>
            <w:tcW w:type="dxa" w:w="2952"/>
            <w:vAlign w:val="center"/>
            <w:shd w:fill="F4F4F4"/>
          </w:tcPr>
          <w:p>
            <w:pPr>
              <w:keepNext w:val="0"/>
              <w:spacing w:line="252" w:lineRule="auto" w:after="0"/>
            </w:pPr>
            <w:r>
              <w:rPr>
                <w:b w:val="0"/>
                <w:color w:val="000000"/>
                <w:sz w:val="19"/>
              </w:rPr>
              <w:t>AUT12</w:t>
            </w:r>
          </w:p>
        </w:tc>
        <w:tc>
          <w:tcPr>
            <w:tcW w:type="dxa" w:w="6696"/>
            <w:vAlign w:val="center"/>
            <w:shd w:fill="F4F4F4"/>
          </w:tcPr>
          <w:p>
            <w:pPr>
              <w:keepNext w:val="0"/>
              <w:spacing w:line="252" w:lineRule="auto" w:after="0"/>
            </w:pPr>
            <w:r>
              <w:rPr>
                <w:b w:val="0"/>
                <w:color w:val="000000"/>
                <w:sz w:val="19"/>
              </w:rPr>
              <w:t>new tenants receive a 30-day Pro trial with centralized entitlements</w:t>
            </w:r>
          </w:p>
        </w:tc>
      </w:tr>
      <w:tr>
        <w:trPr>
          <w:cantSplit/>
        </w:trPr>
        <w:tc>
          <w:tcPr>
            <w:tcW w:type="dxa" w:w="2952"/>
            <w:vAlign w:val="center"/>
            <w:shd w:fill="FFFFFF"/>
          </w:tcPr>
          <w:p>
            <w:pPr>
              <w:keepNext w:val="0"/>
              <w:spacing w:line="252" w:lineRule="auto" w:after="0"/>
            </w:pPr>
            <w:r>
              <w:rPr>
                <w:b w:val="0"/>
                <w:color w:val="000000"/>
                <w:sz w:val="19"/>
              </w:rPr>
              <w:t>AUT13</w:t>
            </w:r>
          </w:p>
        </w:tc>
        <w:tc>
          <w:tcPr>
            <w:tcW w:type="dxa" w:w="6696"/>
            <w:vAlign w:val="center"/>
            <w:shd w:fill="FFFFFF"/>
          </w:tcPr>
          <w:p>
            <w:pPr>
              <w:keepNext w:val="0"/>
              <w:spacing w:line="252" w:lineRule="auto" w:after="0"/>
            </w:pPr>
            <w:r>
              <w:rPr>
                <w:b w:val="0"/>
                <w:color w:val="000000"/>
                <w:sz w:val="19"/>
              </w:rPr>
              <w:t>plan changes gate Pro features and expired subscriptions become read-only</w:t>
            </w:r>
          </w:p>
        </w:tc>
      </w:tr>
      <w:tr>
        <w:trPr>
          <w:cantSplit/>
        </w:trPr>
        <w:tc>
          <w:tcPr>
            <w:tcW w:type="dxa" w:w="2952"/>
            <w:vAlign w:val="center"/>
            <w:shd w:fill="F4F4F4"/>
          </w:tcPr>
          <w:p>
            <w:pPr>
              <w:keepNext w:val="0"/>
              <w:spacing w:line="252" w:lineRule="auto" w:after="0"/>
            </w:pPr>
            <w:r>
              <w:rPr>
                <w:b w:val="0"/>
                <w:color w:val="000000"/>
                <w:sz w:val="19"/>
              </w:rPr>
              <w:t>AUT14</w:t>
            </w:r>
          </w:p>
        </w:tc>
        <w:tc>
          <w:tcPr>
            <w:tcW w:type="dxa" w:w="6696"/>
            <w:vAlign w:val="center"/>
            <w:shd w:fill="F4F4F4"/>
          </w:tcPr>
          <w:p>
            <w:pPr>
              <w:keepNext w:val="0"/>
              <w:spacing w:line="252" w:lineRule="auto" w:after="0"/>
            </w:pPr>
            <w:r>
              <w:rPr>
                <w:b w:val="0"/>
                <w:color w:val="000000"/>
                <w:sz w:val="19"/>
              </w:rPr>
              <w:t>manual subscription requests never activate themselves and preserve data access</w:t>
            </w:r>
          </w:p>
        </w:tc>
      </w:tr>
      <w:tr>
        <w:trPr>
          <w:cantSplit/>
        </w:trPr>
        <w:tc>
          <w:tcPr>
            <w:tcW w:type="dxa" w:w="2952"/>
            <w:vAlign w:val="center"/>
            <w:shd w:fill="FFFFFF"/>
          </w:tcPr>
          <w:p>
            <w:pPr>
              <w:keepNext w:val="0"/>
              <w:spacing w:line="252" w:lineRule="auto" w:after="0"/>
            </w:pPr>
            <w:r>
              <w:rPr>
                <w:b w:val="0"/>
                <w:color w:val="000000"/>
                <w:sz w:val="19"/>
              </w:rPr>
              <w:t>AUT15</w:t>
            </w:r>
          </w:p>
        </w:tc>
        <w:tc>
          <w:tcPr>
            <w:tcW w:type="dxa" w:w="6696"/>
            <w:vAlign w:val="center"/>
            <w:shd w:fill="FFFFFF"/>
          </w:tcPr>
          <w:p>
            <w:pPr>
              <w:keepNext w:val="0"/>
              <w:spacing w:line="252" w:lineRule="auto" w:after="0"/>
            </w:pPr>
            <w:r>
              <w:rPr>
                <w:b w:val="0"/>
                <w:color w:val="000000"/>
                <w:sz w:val="19"/>
              </w:rPr>
              <w:t>owners can update business identity without changing tenant activation</w:t>
            </w:r>
          </w:p>
        </w:tc>
      </w:tr>
      <w:tr>
        <w:trPr>
          <w:cantSplit/>
        </w:trPr>
        <w:tc>
          <w:tcPr>
            <w:tcW w:type="dxa" w:w="2952"/>
            <w:vAlign w:val="center"/>
            <w:shd w:fill="F4F4F4"/>
          </w:tcPr>
          <w:p>
            <w:pPr>
              <w:keepNext w:val="0"/>
              <w:spacing w:line="252" w:lineRule="auto" w:after="0"/>
            </w:pPr>
            <w:r>
              <w:rPr>
                <w:b w:val="0"/>
                <w:color w:val="000000"/>
                <w:sz w:val="19"/>
              </w:rPr>
              <w:t>AUT16</w:t>
            </w:r>
          </w:p>
        </w:tc>
        <w:tc>
          <w:tcPr>
            <w:tcW w:type="dxa" w:w="6696"/>
            <w:vAlign w:val="center"/>
            <w:shd w:fill="F4F4F4"/>
          </w:tcPr>
          <w:p>
            <w:pPr>
              <w:keepNext w:val="0"/>
              <w:spacing w:line="252" w:lineRule="auto" w:after="0"/>
            </w:pPr>
            <w:r>
              <w:rPr>
                <w:b w:val="0"/>
                <w:color w:val="000000"/>
                <w:sz w:val="19"/>
              </w:rPr>
              <w:t>initial inventory bulk import validates rows, avoids duplicates and is safe to retry</w:t>
            </w:r>
          </w:p>
        </w:tc>
      </w:tr>
      <w:tr>
        <w:trPr>
          <w:cantSplit/>
        </w:trPr>
        <w:tc>
          <w:tcPr>
            <w:tcW w:type="dxa" w:w="2952"/>
            <w:vAlign w:val="center"/>
            <w:shd w:fill="FFFFFF"/>
          </w:tcPr>
          <w:p>
            <w:pPr>
              <w:keepNext w:val="0"/>
              <w:spacing w:line="252" w:lineRule="auto" w:after="0"/>
            </w:pPr>
            <w:r>
              <w:rPr>
                <w:b w:val="0"/>
                <w:color w:val="000000"/>
                <w:sz w:val="19"/>
              </w:rPr>
              <w:t>AUT17</w:t>
            </w:r>
          </w:p>
        </w:tc>
        <w:tc>
          <w:tcPr>
            <w:tcW w:type="dxa" w:w="6696"/>
            <w:vAlign w:val="center"/>
            <w:shd w:fill="FFFFFF"/>
          </w:tcPr>
          <w:p>
            <w:pPr>
              <w:keepNext w:val="0"/>
              <w:spacing w:line="252" w:lineRule="auto" w:after="0"/>
            </w:pPr>
            <w:r>
              <w:rPr>
                <w:b w:val="0"/>
                <w:color w:val="000000"/>
                <w:sz w:val="19"/>
              </w:rPr>
              <w:t>password recovery is single-use, changes the password and revokes sessions</w:t>
            </w:r>
          </w:p>
        </w:tc>
      </w:tr>
      <w:tr>
        <w:trPr>
          <w:cantSplit/>
        </w:trPr>
        <w:tc>
          <w:tcPr>
            <w:tcW w:type="dxa" w:w="2952"/>
            <w:vAlign w:val="center"/>
            <w:shd w:fill="F4F4F4"/>
          </w:tcPr>
          <w:p>
            <w:pPr>
              <w:keepNext w:val="0"/>
              <w:spacing w:line="252" w:lineRule="auto" w:after="0"/>
            </w:pPr>
            <w:r>
              <w:rPr>
                <w:b w:val="0"/>
                <w:color w:val="000000"/>
                <w:sz w:val="19"/>
              </w:rPr>
              <w:t>AUT18</w:t>
            </w:r>
          </w:p>
        </w:tc>
        <w:tc>
          <w:tcPr>
            <w:tcW w:type="dxa" w:w="6696"/>
            <w:vAlign w:val="center"/>
            <w:shd w:fill="F4F4F4"/>
          </w:tcPr>
          <w:p>
            <w:pPr>
              <w:keepNext w:val="0"/>
              <w:spacing w:line="252" w:lineRule="auto" w:after="0"/>
            </w:pPr>
            <w:r>
              <w:rPr>
                <w:b w:val="0"/>
                <w:color w:val="000000"/>
                <w:sz w:val="19"/>
              </w:rPr>
              <w:t>system admin manages tenants and their users without entering store operations</w:t>
            </w:r>
          </w:p>
        </w:tc>
      </w:tr>
      <w:tr>
        <w:trPr>
          <w:cantSplit/>
        </w:trPr>
        <w:tc>
          <w:tcPr>
            <w:tcW w:type="dxa" w:w="2952"/>
            <w:vAlign w:val="center"/>
            <w:shd w:fill="FFFFFF"/>
          </w:tcPr>
          <w:p>
            <w:pPr>
              <w:keepNext w:val="0"/>
              <w:spacing w:line="252" w:lineRule="auto" w:after="0"/>
            </w:pPr>
            <w:r>
              <w:rPr>
                <w:b w:val="0"/>
                <w:color w:val="000000"/>
                <w:sz w:val="19"/>
              </w:rPr>
              <w:t>AUT19</w:t>
            </w:r>
          </w:p>
        </w:tc>
        <w:tc>
          <w:tcPr>
            <w:tcW w:type="dxa" w:w="6696"/>
            <w:vAlign w:val="center"/>
            <w:shd w:fill="FFFFFF"/>
          </w:tcPr>
          <w:p>
            <w:pPr>
              <w:keepNext w:val="0"/>
              <w:spacing w:line="252" w:lineRule="auto" w:after="0"/>
            </w:pPr>
            <w:r>
              <w:rPr>
                <w:b w:val="0"/>
                <w:color w:val="000000"/>
                <w:sz w:val="19"/>
              </w:rPr>
              <w:t>critical business flows are consistent and idempotent</w:t>
            </w:r>
          </w:p>
        </w:tc>
      </w:tr>
      <w:tr>
        <w:trPr>
          <w:cantSplit/>
        </w:trPr>
        <w:tc>
          <w:tcPr>
            <w:tcW w:type="dxa" w:w="2952"/>
            <w:vAlign w:val="center"/>
            <w:shd w:fill="F4F4F4"/>
          </w:tcPr>
          <w:p>
            <w:pPr>
              <w:keepNext w:val="0"/>
              <w:spacing w:line="252" w:lineRule="auto" w:after="0"/>
            </w:pPr>
            <w:r>
              <w:rPr>
                <w:b w:val="0"/>
                <w:color w:val="000000"/>
                <w:sz w:val="19"/>
              </w:rPr>
              <w:t>AUT20</w:t>
            </w:r>
          </w:p>
        </w:tc>
        <w:tc>
          <w:tcPr>
            <w:tcW w:type="dxa" w:w="6696"/>
            <w:vAlign w:val="center"/>
            <w:shd w:fill="F4F4F4"/>
          </w:tcPr>
          <w:p>
            <w:pPr>
              <w:keepNext w:val="0"/>
              <w:spacing w:line="252" w:lineRule="auto" w:after="0"/>
            </w:pPr>
            <w:r>
              <w:rPr>
                <w:b w:val="0"/>
                <w:color w:val="000000"/>
                <w:sz w:val="19"/>
              </w:rPr>
              <w:t>closing the cash register resets the dashboard period without losing its history</w:t>
            </w:r>
          </w:p>
        </w:tc>
      </w:tr>
      <w:tr>
        <w:trPr>
          <w:cantSplit/>
        </w:trPr>
        <w:tc>
          <w:tcPr>
            <w:tcW w:type="dxa" w:w="2952"/>
            <w:vAlign w:val="center"/>
            <w:shd w:fill="FFFFFF"/>
          </w:tcPr>
          <w:p>
            <w:pPr>
              <w:keepNext w:val="0"/>
              <w:spacing w:line="252" w:lineRule="auto" w:after="0"/>
            </w:pPr>
            <w:r>
              <w:rPr>
                <w:b w:val="0"/>
                <w:color w:val="000000"/>
                <w:sz w:val="19"/>
              </w:rPr>
              <w:t>AUT21</w:t>
            </w:r>
          </w:p>
        </w:tc>
        <w:tc>
          <w:tcPr>
            <w:tcW w:type="dxa" w:w="6696"/>
            <w:vAlign w:val="center"/>
            <w:shd w:fill="FFFFFF"/>
          </w:tcPr>
          <w:p>
            <w:pPr>
              <w:keepNext w:val="0"/>
              <w:spacing w:line="252" w:lineRule="auto" w:after="0"/>
            </w:pPr>
            <w:r>
              <w:rPr>
                <w:b w:val="0"/>
                <w:color w:val="000000"/>
                <w:sz w:val="19"/>
              </w:rPr>
              <w:t>invoice vision output is normalized and only matches products from the tenant catalog</w:t>
            </w:r>
          </w:p>
        </w:tc>
      </w:tr>
      <w:tr>
        <w:trPr>
          <w:cantSplit/>
        </w:trPr>
        <w:tc>
          <w:tcPr>
            <w:tcW w:type="dxa" w:w="2952"/>
            <w:vAlign w:val="center"/>
            <w:shd w:fill="F4F4F4"/>
          </w:tcPr>
          <w:p>
            <w:pPr>
              <w:keepNext w:val="0"/>
              <w:spacing w:line="252" w:lineRule="auto" w:after="0"/>
            </w:pPr>
            <w:r>
              <w:rPr>
                <w:b w:val="0"/>
                <w:color w:val="000000"/>
                <w:sz w:val="19"/>
              </w:rPr>
              <w:t>AUT22</w:t>
            </w:r>
          </w:p>
        </w:tc>
        <w:tc>
          <w:tcPr>
            <w:tcW w:type="dxa" w:w="6696"/>
            <w:vAlign w:val="center"/>
            <w:shd w:fill="F4F4F4"/>
          </w:tcPr>
          <w:p>
            <w:pPr>
              <w:keepNext w:val="0"/>
              <w:spacing w:line="252" w:lineRule="auto" w:after="0"/>
            </w:pPr>
            <w:r>
              <w:rPr>
                <w:b w:val="0"/>
                <w:color w:val="000000"/>
                <w:sz w:val="19"/>
              </w:rPr>
              <w:t>invoice vision request uses a strict schema and disables provider storage</w:t>
            </w:r>
          </w:p>
        </w:tc>
      </w:tr>
      <w:tr>
        <w:trPr>
          <w:cantSplit/>
        </w:trPr>
        <w:tc>
          <w:tcPr>
            <w:tcW w:type="dxa" w:w="2952"/>
            <w:vAlign w:val="center"/>
            <w:shd w:fill="FFFFFF"/>
          </w:tcPr>
          <w:p>
            <w:pPr>
              <w:keepNext w:val="0"/>
              <w:spacing w:line="252" w:lineRule="auto" w:after="0"/>
            </w:pPr>
            <w:r>
              <w:rPr>
                <w:b w:val="0"/>
                <w:color w:val="000000"/>
                <w:sz w:val="19"/>
              </w:rPr>
              <w:t>AUT23</w:t>
            </w:r>
          </w:p>
        </w:tc>
        <w:tc>
          <w:tcPr>
            <w:tcW w:type="dxa" w:w="6696"/>
            <w:vAlign w:val="center"/>
            <w:shd w:fill="FFFFFF"/>
          </w:tcPr>
          <w:p>
            <w:pPr>
              <w:keepNext w:val="0"/>
              <w:spacing w:line="252" w:lineRule="auto" w:after="0"/>
            </w:pPr>
            <w:r>
              <w:rPr>
                <w:b w:val="0"/>
                <w:color w:val="000000"/>
                <w:sz w:val="19"/>
              </w:rPr>
              <w:t>quick sale normalizes multiple products, groups quantities and never trusts unknown catalog ids</w:t>
            </w:r>
          </w:p>
        </w:tc>
      </w:tr>
      <w:tr>
        <w:trPr>
          <w:cantSplit/>
        </w:trPr>
        <w:tc>
          <w:tcPr>
            <w:tcW w:type="dxa" w:w="2952"/>
            <w:vAlign w:val="center"/>
            <w:shd w:fill="F4F4F4"/>
          </w:tcPr>
          <w:p>
            <w:pPr>
              <w:keepNext w:val="0"/>
              <w:spacing w:line="252" w:lineRule="auto" w:after="0"/>
            </w:pPr>
            <w:r>
              <w:rPr>
                <w:b w:val="0"/>
                <w:color w:val="000000"/>
                <w:sz w:val="19"/>
              </w:rPr>
              <w:t>AUT24</w:t>
            </w:r>
          </w:p>
        </w:tc>
        <w:tc>
          <w:tcPr>
            <w:tcW w:type="dxa" w:w="6696"/>
            <w:vAlign w:val="center"/>
            <w:shd w:fill="F4F4F4"/>
          </w:tcPr>
          <w:p>
            <w:pPr>
              <w:keepNext w:val="0"/>
              <w:spacing w:line="252" w:lineRule="auto" w:after="0"/>
            </w:pPr>
            <w:r>
              <w:rPr>
                <w:b w:val="0"/>
                <w:color w:val="000000"/>
                <w:sz w:val="19"/>
              </w:rPr>
              <w:t>quick sale vision uses strict structured output, catalog context and provider privacy controls</w:t>
            </w:r>
          </w:p>
        </w:tc>
      </w:tr>
      <w:tr>
        <w:trPr>
          <w:cantSplit/>
        </w:trPr>
        <w:tc>
          <w:tcPr>
            <w:tcW w:type="dxa" w:w="2952"/>
            <w:vAlign w:val="center"/>
            <w:shd w:fill="FFFFFF"/>
          </w:tcPr>
          <w:p>
            <w:pPr>
              <w:keepNext w:val="0"/>
              <w:spacing w:line="252" w:lineRule="auto" w:after="0"/>
            </w:pPr>
            <w:r>
              <w:rPr>
                <w:b w:val="0"/>
                <w:color w:val="000000"/>
                <w:sz w:val="19"/>
              </w:rPr>
              <w:t>AUT25</w:t>
            </w:r>
          </w:p>
        </w:tc>
        <w:tc>
          <w:tcPr>
            <w:tcW w:type="dxa" w:w="6696"/>
            <w:vAlign w:val="center"/>
            <w:shd w:fill="FFFFFF"/>
          </w:tcPr>
          <w:p>
            <w:pPr>
              <w:keepNext w:val="0"/>
              <w:spacing w:line="252" w:lineRule="auto" w:after="0"/>
            </w:pPr>
            <w:r>
              <w:rPr>
                <w:b w:val="0"/>
                <w:color w:val="000000"/>
                <w:sz w:val="19"/>
              </w:rPr>
              <w:t>quick sale uses Groq vision JSON mode without sending prices or stock</w:t>
            </w:r>
          </w:p>
        </w:tc>
      </w:tr>
      <w:tr>
        <w:trPr>
          <w:cantSplit/>
        </w:trPr>
        <w:tc>
          <w:tcPr>
            <w:tcW w:type="dxa" w:w="2952"/>
            <w:vAlign w:val="center"/>
            <w:shd w:fill="F4F4F4"/>
          </w:tcPr>
          <w:p>
            <w:pPr>
              <w:keepNext w:val="0"/>
              <w:spacing w:line="252" w:lineRule="auto" w:after="0"/>
            </w:pPr>
            <w:r>
              <w:rPr>
                <w:b w:val="0"/>
                <w:color w:val="000000"/>
                <w:sz w:val="19"/>
              </w:rPr>
              <w:t>AUT26</w:t>
            </w:r>
          </w:p>
        </w:tc>
        <w:tc>
          <w:tcPr>
            <w:tcW w:type="dxa" w:w="6696"/>
            <w:vAlign w:val="center"/>
            <w:shd w:fill="F4F4F4"/>
          </w:tcPr>
          <w:p>
            <w:pPr>
              <w:keepNext w:val="0"/>
              <w:spacing w:line="252" w:lineRule="auto" w:after="0"/>
            </w:pPr>
            <w:r>
              <w:rPr>
                <w:b w:val="0"/>
                <w:color w:val="000000"/>
                <w:sz w:val="19"/>
              </w:rPr>
              <w:t>quick sale reads a product created immediately before the analysis from the current tenant catalog</w:t>
            </w:r>
          </w:p>
        </w:tc>
      </w:tr>
      <w:tr>
        <w:trPr>
          <w:cantSplit/>
        </w:trPr>
        <w:tc>
          <w:tcPr>
            <w:tcW w:type="dxa" w:w="2952"/>
            <w:vAlign w:val="center"/>
            <w:shd w:fill="FFFFFF"/>
          </w:tcPr>
          <w:p>
            <w:pPr>
              <w:keepNext w:val="0"/>
              <w:spacing w:line="252" w:lineRule="auto" w:after="0"/>
            </w:pPr>
            <w:r>
              <w:rPr>
                <w:b w:val="0"/>
                <w:color w:val="000000"/>
                <w:sz w:val="19"/>
              </w:rPr>
              <w:t>AUT27</w:t>
            </w:r>
          </w:p>
        </w:tc>
        <w:tc>
          <w:tcPr>
            <w:tcW w:type="dxa" w:w="6696"/>
            <w:vAlign w:val="center"/>
            <w:shd w:fill="FFFFFF"/>
          </w:tcPr>
          <w:p>
            <w:pPr>
              <w:keepNext w:val="0"/>
              <w:spacing w:line="252" w:lineRule="auto" w:after="0"/>
            </w:pPr>
            <w:r>
              <w:rPr>
                <w:b w:val="0"/>
                <w:color w:val="000000"/>
                <w:sz w:val="19"/>
              </w:rPr>
              <w:t>quick sale adds reviewed quantities to the existing POS ticket without changing inventory</w:t>
            </w:r>
          </w:p>
        </w:tc>
      </w:tr>
      <w:tr>
        <w:trPr>
          <w:cantSplit/>
        </w:trPr>
        <w:tc>
          <w:tcPr>
            <w:tcW w:type="dxa" w:w="2952"/>
            <w:vAlign w:val="center"/>
            <w:shd w:fill="F4F4F4"/>
          </w:tcPr>
          <w:p>
            <w:pPr>
              <w:keepNext w:val="0"/>
              <w:spacing w:line="252" w:lineRule="auto" w:after="0"/>
            </w:pPr>
            <w:r>
              <w:rPr>
                <w:b w:val="0"/>
                <w:color w:val="000000"/>
                <w:sz w:val="19"/>
              </w:rPr>
              <w:t>AUT28</w:t>
            </w:r>
          </w:p>
        </w:tc>
        <w:tc>
          <w:tcPr>
            <w:tcW w:type="dxa" w:w="6696"/>
            <w:vAlign w:val="center"/>
            <w:shd w:fill="F4F4F4"/>
          </w:tcPr>
          <w:p>
            <w:pPr>
              <w:keepNext w:val="0"/>
              <w:spacing w:line="252" w:lineRule="auto" w:after="0"/>
            </w:pPr>
            <w:r>
              <w:rPr>
                <w:b w:val="0"/>
                <w:color w:val="000000"/>
                <w:sz w:val="19"/>
              </w:rPr>
              <w:t>invoice import validates review fields, receives stock once and blocks duplicate invoices</w:t>
            </w:r>
          </w:p>
        </w:tc>
      </w:tr>
      <w:tr>
        <w:trPr>
          <w:cantSplit/>
        </w:trPr>
        <w:tc>
          <w:tcPr>
            <w:tcW w:type="dxa" w:w="2952"/>
            <w:vAlign w:val="center"/>
            <w:shd w:fill="FFFFFF"/>
          </w:tcPr>
          <w:p>
            <w:pPr>
              <w:keepNext w:val="0"/>
              <w:spacing w:line="252" w:lineRule="auto" w:after="0"/>
            </w:pPr>
            <w:r>
              <w:rPr>
                <w:b w:val="0"/>
                <w:color w:val="000000"/>
                <w:sz w:val="19"/>
              </w:rPr>
              <w:t>AUT29</w:t>
            </w:r>
          </w:p>
        </w:tc>
        <w:tc>
          <w:tcPr>
            <w:tcW w:type="dxa" w:w="6696"/>
            <w:vAlign w:val="center"/>
            <w:shd w:fill="FFFFFF"/>
          </w:tcPr>
          <w:p>
            <w:pPr>
              <w:keepNext w:val="0"/>
              <w:spacing w:line="252" w:lineRule="auto" w:after="0"/>
            </w:pPr>
            <w:r>
              <w:rPr>
                <w:b w:val="0"/>
                <w:color w:val="000000"/>
                <w:sz w:val="19"/>
              </w:rPr>
              <w:t>invoice import rejects unsafe quantities and unconfirmed sale prices before writing</w:t>
            </w:r>
          </w:p>
        </w:tc>
      </w:tr>
      <w:tr>
        <w:trPr>
          <w:cantSplit/>
        </w:trPr>
        <w:tc>
          <w:tcPr>
            <w:tcW w:type="dxa" w:w="2952"/>
            <w:vAlign w:val="center"/>
            <w:shd w:fill="F4F4F4"/>
          </w:tcPr>
          <w:p>
            <w:pPr>
              <w:keepNext w:val="0"/>
              <w:spacing w:line="252" w:lineRule="auto" w:after="0"/>
            </w:pPr>
            <w:r>
              <w:rPr>
                <w:b w:val="0"/>
                <w:color w:val="000000"/>
                <w:sz w:val="19"/>
              </w:rPr>
              <w:t>AUT30</w:t>
            </w:r>
          </w:p>
        </w:tc>
        <w:tc>
          <w:tcPr>
            <w:tcW w:type="dxa" w:w="6696"/>
            <w:vAlign w:val="center"/>
            <w:shd w:fill="F4F4F4"/>
          </w:tcPr>
          <w:p>
            <w:pPr>
              <w:keepNext w:val="0"/>
              <w:spacing w:line="252" w:lineRule="auto" w:after="0"/>
            </w:pPr>
            <w:r>
              <w:rPr>
                <w:b w:val="0"/>
                <w:color w:val="000000"/>
                <w:sz w:val="19"/>
              </w:rPr>
              <w:t>administration can reset credentials and permanently delete users without deleting sale history</w:t>
            </w:r>
          </w:p>
        </w:tc>
      </w:tr>
      <w:tr>
        <w:trPr>
          <w:cantSplit/>
        </w:trPr>
        <w:tc>
          <w:tcPr>
            <w:tcW w:type="dxa" w:w="2952"/>
            <w:vAlign w:val="center"/>
            <w:shd w:fill="FFFFFF"/>
          </w:tcPr>
          <w:p>
            <w:pPr>
              <w:keepNext w:val="0"/>
              <w:spacing w:line="252" w:lineRule="auto" w:after="0"/>
            </w:pPr>
            <w:r>
              <w:rPr>
                <w:b w:val="0"/>
                <w:color w:val="000000"/>
                <w:sz w:val="19"/>
              </w:rPr>
              <w:t>AUT31</w:t>
            </w:r>
          </w:p>
        </w:tc>
        <w:tc>
          <w:tcPr>
            <w:tcW w:type="dxa" w:w="6696"/>
            <w:vAlign w:val="center"/>
            <w:shd w:fill="FFFFFF"/>
          </w:tcPr>
          <w:p>
            <w:pPr>
              <w:keepNext w:val="0"/>
              <w:spacing w:line="252" w:lineRule="auto" w:after="0"/>
            </w:pPr>
            <w:r>
              <w:rPr>
                <w:b w:val="0"/>
                <w:color w:val="000000"/>
                <w:sz w:val="19"/>
              </w:rPr>
              <w:t>platform deletion removes a tenant and all its operational data</w:t>
            </w:r>
          </w:p>
        </w:tc>
      </w:tr>
      <w:tr>
        <w:trPr>
          <w:cantSplit/>
        </w:trPr>
        <w:tc>
          <w:tcPr>
            <w:tcW w:type="dxa" w:w="2952"/>
            <w:vAlign w:val="center"/>
            <w:shd w:fill="F4F4F4"/>
          </w:tcPr>
          <w:p>
            <w:pPr>
              <w:keepNext w:val="0"/>
              <w:spacing w:line="252" w:lineRule="auto" w:after="0"/>
            </w:pPr>
            <w:r>
              <w:rPr>
                <w:b w:val="0"/>
                <w:color w:val="000000"/>
                <w:sz w:val="19"/>
              </w:rPr>
              <w:t>AUT32</w:t>
            </w:r>
          </w:p>
        </w:tc>
        <w:tc>
          <w:tcPr>
            <w:tcW w:type="dxa" w:w="6696"/>
            <w:vAlign w:val="center"/>
            <w:shd w:fill="F4F4F4"/>
          </w:tcPr>
          <w:p>
            <w:pPr>
              <w:keepNext w:val="0"/>
              <w:spacing w:line="252" w:lineRule="auto" w:after="0"/>
            </w:pPr>
            <w:r>
              <w:rPr>
                <w:b w:val="0"/>
                <w:color w:val="000000"/>
                <w:sz w:val="19"/>
              </w:rPr>
              <w:t>inventory alerts and destination filters share stock rules</w:t>
            </w:r>
          </w:p>
        </w:tc>
      </w:tr>
      <w:tr>
        <w:trPr>
          <w:cantSplit/>
        </w:trPr>
        <w:tc>
          <w:tcPr>
            <w:tcW w:type="dxa" w:w="2952"/>
            <w:vAlign w:val="center"/>
            <w:shd w:fill="FFFFFF"/>
          </w:tcPr>
          <w:p>
            <w:pPr>
              <w:keepNext w:val="0"/>
              <w:spacing w:line="252" w:lineRule="auto" w:after="0"/>
            </w:pPr>
            <w:r>
              <w:rPr>
                <w:b w:val="0"/>
                <w:color w:val="000000"/>
                <w:sz w:val="19"/>
              </w:rPr>
              <w:t>AUT33</w:t>
            </w:r>
          </w:p>
        </w:tc>
        <w:tc>
          <w:tcPr>
            <w:tcW w:type="dxa" w:w="6696"/>
            <w:vAlign w:val="center"/>
            <w:shd w:fill="FFFFFF"/>
          </w:tcPr>
          <w:p>
            <w:pPr>
              <w:keepNext w:val="0"/>
              <w:spacing w:line="252" w:lineRule="auto" w:after="0"/>
            </w:pPr>
            <w:r>
              <w:rPr>
                <w:b w:val="0"/>
                <w:color w:val="000000"/>
                <w:sz w:val="19"/>
              </w:rPr>
              <w:t>expiry uses inclusive 30 calendar days and excludes empty stock</w:t>
            </w:r>
          </w:p>
        </w:tc>
      </w:tr>
      <w:tr>
        <w:trPr>
          <w:cantSplit/>
        </w:trPr>
        <w:tc>
          <w:tcPr>
            <w:tcW w:type="dxa" w:w="2952"/>
            <w:vAlign w:val="center"/>
            <w:shd w:fill="F4F4F4"/>
          </w:tcPr>
          <w:p>
            <w:pPr>
              <w:keepNext w:val="0"/>
              <w:spacing w:line="252" w:lineRule="auto" w:after="0"/>
            </w:pPr>
            <w:r>
              <w:rPr>
                <w:b w:val="0"/>
                <w:color w:val="000000"/>
                <w:sz w:val="19"/>
              </w:rPr>
              <w:t>AUT34</w:t>
            </w:r>
          </w:p>
        </w:tc>
        <w:tc>
          <w:tcPr>
            <w:tcW w:type="dxa" w:w="6696"/>
            <w:vAlign w:val="center"/>
            <w:shd w:fill="F4F4F4"/>
          </w:tcPr>
          <w:p>
            <w:pPr>
              <w:keepNext w:val="0"/>
              <w:spacing w:line="252" w:lineRule="auto" w:after="0"/>
            </w:pPr>
            <w:r>
              <w:rPr>
                <w:b w:val="0"/>
                <w:color w:val="000000"/>
                <w:sz w:val="19"/>
              </w:rPr>
              <w:t>business day stays in Chile across UTC midnight</w:t>
            </w:r>
          </w:p>
        </w:tc>
      </w:tr>
      <w:tr>
        <w:trPr>
          <w:cantSplit/>
        </w:trPr>
        <w:tc>
          <w:tcPr>
            <w:tcW w:type="dxa" w:w="2952"/>
            <w:vAlign w:val="center"/>
            <w:shd w:fill="FFFFFF"/>
          </w:tcPr>
          <w:p>
            <w:pPr>
              <w:keepNext w:val="0"/>
              <w:spacing w:line="252" w:lineRule="auto" w:after="0"/>
            </w:pPr>
            <w:r>
              <w:rPr>
                <w:b w:val="0"/>
                <w:color w:val="000000"/>
                <w:sz w:val="19"/>
              </w:rPr>
              <w:t>AUT35</w:t>
            </w:r>
          </w:p>
        </w:tc>
        <w:tc>
          <w:tcPr>
            <w:tcW w:type="dxa" w:w="6696"/>
            <w:vAlign w:val="center"/>
            <w:shd w:fill="FFFFFF"/>
          </w:tcPr>
          <w:p>
            <w:pPr>
              <w:keepNext w:val="0"/>
              <w:spacing w:line="252" w:lineRule="auto" w:after="0"/>
            </w:pPr>
            <w:r>
              <w:rPr>
                <w:b w:val="0"/>
                <w:color w:val="000000"/>
                <w:sz w:val="19"/>
              </w:rPr>
              <w:t>overdue excludes paid, cancelled, zero balances and debts due today</w:t>
            </w:r>
          </w:p>
        </w:tc>
      </w:tr>
      <w:tr>
        <w:trPr>
          <w:cantSplit/>
        </w:trPr>
        <w:tc>
          <w:tcPr>
            <w:tcW w:type="dxa" w:w="2952"/>
            <w:vAlign w:val="center"/>
            <w:shd w:fill="F4F4F4"/>
          </w:tcPr>
          <w:p>
            <w:pPr>
              <w:keepNext w:val="0"/>
              <w:spacing w:line="252" w:lineRule="auto" w:after="0"/>
            </w:pPr>
            <w:r>
              <w:rPr>
                <w:b w:val="0"/>
                <w:color w:val="000000"/>
                <w:sz w:val="19"/>
              </w:rPr>
              <w:t>AUT36</w:t>
            </w:r>
          </w:p>
        </w:tc>
        <w:tc>
          <w:tcPr>
            <w:tcW w:type="dxa" w:w="6696"/>
            <w:vAlign w:val="center"/>
            <w:shd w:fill="F4F4F4"/>
          </w:tcPr>
          <w:p>
            <w:pPr>
              <w:keepNext w:val="0"/>
              <w:spacing w:line="252" w:lineRule="auto" w:after="0"/>
            </w:pPr>
            <w:r>
              <w:rPr>
                <w:b w:val="0"/>
                <w:color w:val="000000"/>
                <w:sz w:val="19"/>
              </w:rPr>
              <w:t>recent sales are sorted without mutation and omit cancelled sales</w:t>
            </w:r>
          </w:p>
        </w:tc>
      </w:tr>
      <w:tr>
        <w:trPr>
          <w:cantSplit/>
        </w:trPr>
        <w:tc>
          <w:tcPr>
            <w:tcW w:type="dxa" w:w="2952"/>
            <w:vAlign w:val="center"/>
            <w:shd w:fill="FFFFFF"/>
          </w:tcPr>
          <w:p>
            <w:pPr>
              <w:keepNext w:val="0"/>
              <w:spacing w:line="252" w:lineRule="auto" w:after="0"/>
            </w:pPr>
            <w:r>
              <w:rPr>
                <w:b w:val="0"/>
                <w:color w:val="000000"/>
                <w:sz w:val="19"/>
              </w:rPr>
              <w:t>AUT37</w:t>
            </w:r>
          </w:p>
        </w:tc>
        <w:tc>
          <w:tcPr>
            <w:tcW w:type="dxa" w:w="6696"/>
            <w:vAlign w:val="center"/>
            <w:shd w:fill="FFFFFF"/>
          </w:tcPr>
          <w:p>
            <w:pPr>
              <w:keepNext w:val="0"/>
              <w:spacing w:line="252" w:lineRule="auto" w:after="0"/>
            </w:pPr>
            <w:r>
              <w:rPr>
                <w:b w:val="0"/>
                <w:color w:val="000000"/>
                <w:sz w:val="19"/>
              </w:rPr>
              <w:t>light theme keeps body, action and selected-payment text at 4.5:1 contrast</w:t>
            </w:r>
          </w:p>
        </w:tc>
      </w:tr>
      <w:tr>
        <w:trPr>
          <w:cantSplit/>
        </w:trPr>
        <w:tc>
          <w:tcPr>
            <w:tcW w:type="dxa" w:w="2952"/>
            <w:vAlign w:val="center"/>
            <w:shd w:fill="F4F4F4"/>
          </w:tcPr>
          <w:p>
            <w:pPr>
              <w:keepNext w:val="0"/>
              <w:spacing w:line="252" w:lineRule="auto" w:after="0"/>
            </w:pPr>
            <w:r>
              <w:rPr>
                <w:b w:val="0"/>
                <w:color w:val="000000"/>
                <w:sz w:val="19"/>
              </w:rPr>
              <w:t>AUT38</w:t>
            </w:r>
          </w:p>
        </w:tc>
        <w:tc>
          <w:tcPr>
            <w:tcW w:type="dxa" w:w="6696"/>
            <w:vAlign w:val="center"/>
            <w:shd w:fill="F4F4F4"/>
          </w:tcPr>
          <w:p>
            <w:pPr>
              <w:keepNext w:val="0"/>
              <w:spacing w:line="252" w:lineRule="auto" w:after="0"/>
            </w:pPr>
            <w:r>
              <w:rPr>
                <w:b w:val="0"/>
                <w:color w:val="000000"/>
                <w:sz w:val="19"/>
              </w:rPr>
              <w:t>dark theme keeps body, action and selected-payment text at 4.5:1 contrast</w:t>
            </w:r>
          </w:p>
        </w:tc>
      </w:tr>
      <w:tr>
        <w:trPr>
          <w:cantSplit/>
        </w:trPr>
        <w:tc>
          <w:tcPr>
            <w:tcW w:type="dxa" w:w="2952"/>
            <w:vAlign w:val="center"/>
            <w:shd w:fill="FFFFFF"/>
          </w:tcPr>
          <w:p>
            <w:pPr>
              <w:keepNext w:val="0"/>
              <w:spacing w:line="252" w:lineRule="auto" w:after="0"/>
            </w:pPr>
            <w:r>
              <w:rPr>
                <w:b w:val="0"/>
                <w:color w:val="000000"/>
                <w:sz w:val="19"/>
              </w:rPr>
              <w:t>AUT39</w:t>
            </w:r>
          </w:p>
        </w:tc>
        <w:tc>
          <w:tcPr>
            <w:tcW w:type="dxa" w:w="6696"/>
            <w:vAlign w:val="center"/>
            <w:shd w:fill="FFFFFF"/>
          </w:tcPr>
          <w:p>
            <w:pPr>
              <w:keepNext w:val="0"/>
              <w:spacing w:line="252" w:lineRule="auto" w:after="0"/>
            </w:pPr>
            <w:r>
              <w:rPr>
                <w:b w:val="0"/>
                <w:color w:val="000000"/>
                <w:sz w:val="19"/>
              </w:rPr>
              <w:t>selected payment uses the tested foreground and a visible check</w:t>
            </w:r>
          </w:p>
        </w:tc>
      </w:tr>
      <w:tr>
        <w:trPr>
          <w:cantSplit/>
        </w:trPr>
        <w:tc>
          <w:tcPr>
            <w:tcW w:type="dxa" w:w="2952"/>
            <w:vAlign w:val="center"/>
            <w:shd w:fill="F4F4F4"/>
          </w:tcPr>
          <w:p>
            <w:pPr>
              <w:keepNext w:val="0"/>
              <w:spacing w:line="252" w:lineRule="auto" w:after="0"/>
            </w:pPr>
            <w:r>
              <w:rPr>
                <w:b w:val="0"/>
                <w:color w:val="000000"/>
                <w:sz w:val="19"/>
              </w:rPr>
              <w:t>AUT40</w:t>
            </w:r>
          </w:p>
        </w:tc>
        <w:tc>
          <w:tcPr>
            <w:tcW w:type="dxa" w:w="6696"/>
            <w:vAlign w:val="center"/>
            <w:shd w:fill="F4F4F4"/>
          </w:tcPr>
          <w:p>
            <w:pPr>
              <w:keepNext w:val="0"/>
              <w:spacing w:line="252" w:lineRule="auto" w:after="0"/>
            </w:pPr>
            <w:r>
              <w:rPr>
                <w:b w:val="0"/>
                <w:color w:val="000000"/>
                <w:sz w:val="19"/>
              </w:rPr>
              <w:t>shared typography has no viewport font scaling or heavy display weights</w:t>
            </w:r>
          </w:p>
        </w:tc>
      </w:tr>
      <w:tr>
        <w:trPr>
          <w:cantSplit/>
        </w:trPr>
        <w:tc>
          <w:tcPr>
            <w:tcW w:type="dxa" w:w="2952"/>
            <w:vAlign w:val="center"/>
            <w:shd w:fill="FFFFFF"/>
          </w:tcPr>
          <w:p>
            <w:pPr>
              <w:keepNext w:val="0"/>
              <w:spacing w:line="252" w:lineRule="auto" w:after="0"/>
            </w:pPr>
            <w:r>
              <w:rPr>
                <w:b w:val="0"/>
                <w:color w:val="000000"/>
                <w:sz w:val="19"/>
              </w:rPr>
              <w:t>AUT41</w:t>
            </w:r>
          </w:p>
        </w:tc>
        <w:tc>
          <w:tcPr>
            <w:tcW w:type="dxa" w:w="6696"/>
            <w:vAlign w:val="center"/>
            <w:shd w:fill="FFFFFF"/>
          </w:tcPr>
          <w:p>
            <w:pPr>
              <w:keepNext w:val="0"/>
              <w:spacing w:line="252" w:lineRule="auto" w:after="0"/>
            </w:pPr>
            <w:r>
              <w:rPr>
                <w:b w:val="0"/>
                <w:color w:val="000000"/>
                <w:sz w:val="19"/>
              </w:rPr>
              <w:t>cash tabs keep a single four-column row and inactive panels stay hidden</w:t>
            </w:r>
          </w:p>
        </w:tc>
      </w:tr>
      <w:tr>
        <w:trPr>
          <w:cantSplit/>
        </w:trPr>
        <w:tc>
          <w:tcPr>
            <w:tcW w:type="dxa" w:w="2952"/>
            <w:vAlign w:val="center"/>
            <w:shd w:fill="F4F4F4"/>
          </w:tcPr>
          <w:p>
            <w:pPr>
              <w:keepNext w:val="0"/>
              <w:spacing w:line="252" w:lineRule="auto" w:after="0"/>
            </w:pPr>
            <w:r>
              <w:rPr>
                <w:b w:val="0"/>
                <w:color w:val="000000"/>
                <w:sz w:val="19"/>
              </w:rPr>
              <w:t>AUT42</w:t>
            </w:r>
          </w:p>
        </w:tc>
        <w:tc>
          <w:tcPr>
            <w:tcW w:type="dxa" w:w="6696"/>
            <w:vAlign w:val="center"/>
            <w:shd w:fill="F4F4F4"/>
          </w:tcPr>
          <w:p>
            <w:pPr>
              <w:keepNext w:val="0"/>
              <w:spacing w:line="252" w:lineRule="auto" w:after="0"/>
            </w:pPr>
            <w:r>
              <w:rPr>
                <w:b w:val="0"/>
                <w:color w:val="000000"/>
                <w:sz w:val="19"/>
              </w:rPr>
              <w:t>recent sale rows and expanded details have distinct themed surfaces</w:t>
            </w:r>
          </w:p>
        </w:tc>
      </w:tr>
      <w:tr>
        <w:trPr>
          <w:cantSplit/>
        </w:trPr>
        <w:tc>
          <w:tcPr>
            <w:tcW w:type="dxa" w:w="2952"/>
            <w:vAlign w:val="center"/>
            <w:shd w:fill="FFFFFF"/>
          </w:tcPr>
          <w:p>
            <w:pPr>
              <w:keepNext w:val="0"/>
              <w:spacing w:line="252" w:lineRule="auto" w:after="0"/>
            </w:pPr>
            <w:r>
              <w:rPr>
                <w:b w:val="0"/>
                <w:color w:val="000000"/>
                <w:sz w:val="19"/>
              </w:rPr>
              <w:t>AUT43</w:t>
            </w:r>
          </w:p>
        </w:tc>
        <w:tc>
          <w:tcPr>
            <w:tcW w:type="dxa" w:w="6696"/>
            <w:vAlign w:val="center"/>
            <w:shd w:fill="FFFFFF"/>
          </w:tcPr>
          <w:p>
            <w:pPr>
              <w:keepNext w:val="0"/>
              <w:spacing w:line="252" w:lineRule="auto" w:after="0"/>
            </w:pPr>
            <w:r>
              <w:rPr>
                <w:b w:val="0"/>
                <w:color w:val="000000"/>
                <w:sz w:val="19"/>
              </w:rPr>
              <w:t>sale search dialog has an opaque theme surface above its backdrop</w:t>
            </w:r>
          </w:p>
        </w:tc>
      </w:tr>
      <w:tr>
        <w:trPr>
          <w:cantSplit/>
        </w:trPr>
        <w:tc>
          <w:tcPr>
            <w:tcW w:type="dxa" w:w="2952"/>
            <w:vAlign w:val="center"/>
            <w:shd w:fill="F4F4F4"/>
          </w:tcPr>
          <w:p>
            <w:pPr>
              <w:keepNext w:val="0"/>
              <w:spacing w:line="252" w:lineRule="auto" w:after="0"/>
            </w:pPr>
            <w:r>
              <w:rPr>
                <w:b w:val="0"/>
                <w:color w:val="000000"/>
                <w:sz w:val="19"/>
              </w:rPr>
              <w:t>AUT44</w:t>
            </w:r>
          </w:p>
        </w:tc>
        <w:tc>
          <w:tcPr>
            <w:tcW w:type="dxa" w:w="6696"/>
            <w:vAlign w:val="center"/>
            <w:shd w:fill="F4F4F4"/>
          </w:tcPr>
          <w:p>
            <w:pPr>
              <w:keepNext w:val="0"/>
              <w:spacing w:line="252" w:lineRule="auto" w:after="0"/>
            </w:pPr>
            <w:r>
              <w:rPr>
                <w:b w:val="0"/>
                <w:color w:val="000000"/>
                <w:sz w:val="19"/>
              </w:rPr>
              <w:t>sale action dialog has an opaque themed surface</w:t>
            </w:r>
          </w:p>
        </w:tc>
      </w:tr>
      <w:tr>
        <w:trPr>
          <w:cantSplit/>
        </w:trPr>
        <w:tc>
          <w:tcPr>
            <w:tcW w:type="dxa" w:w="2952"/>
            <w:vAlign w:val="center"/>
            <w:shd w:fill="FFFFFF"/>
          </w:tcPr>
          <w:p>
            <w:pPr>
              <w:keepNext w:val="0"/>
              <w:spacing w:line="252" w:lineRule="auto" w:after="0"/>
            </w:pPr>
            <w:r>
              <w:rPr>
                <w:b w:val="0"/>
                <w:color w:val="000000"/>
                <w:sz w:val="19"/>
              </w:rPr>
              <w:t>AUT45</w:t>
            </w:r>
          </w:p>
        </w:tc>
        <w:tc>
          <w:tcPr>
            <w:tcW w:type="dxa" w:w="6696"/>
            <w:vAlign w:val="center"/>
            <w:shd w:fill="FFFFFF"/>
          </w:tcPr>
          <w:p>
            <w:pPr>
              <w:keepNext w:val="0"/>
              <w:spacing w:line="252" w:lineRule="auto" w:after="0"/>
            </w:pPr>
            <w:r>
              <w:rPr>
                <w:b w:val="0"/>
                <w:color w:val="000000"/>
                <w:sz w:val="19"/>
              </w:rPr>
              <w:t>invalid sale payloads never alter stock, debt or sales</w:t>
            </w:r>
          </w:p>
        </w:tc>
      </w:tr>
      <w:tr>
        <w:trPr>
          <w:cantSplit/>
        </w:trPr>
        <w:tc>
          <w:tcPr>
            <w:tcW w:type="dxa" w:w="2952"/>
            <w:vAlign w:val="center"/>
            <w:shd w:fill="F4F4F4"/>
          </w:tcPr>
          <w:p>
            <w:pPr>
              <w:keepNext w:val="0"/>
              <w:spacing w:line="252" w:lineRule="auto" w:after="0"/>
            </w:pPr>
            <w:r>
              <w:rPr>
                <w:b w:val="0"/>
                <w:color w:val="000000"/>
                <w:sz w:val="19"/>
              </w:rPr>
              <w:t>AUT46</w:t>
            </w:r>
          </w:p>
        </w:tc>
        <w:tc>
          <w:tcPr>
            <w:tcW w:type="dxa" w:w="6696"/>
            <w:vAlign w:val="center"/>
            <w:shd w:fill="F4F4F4"/>
          </w:tcPr>
          <w:p>
            <w:pPr>
              <w:keepNext w:val="0"/>
              <w:spacing w:line="252" w:lineRule="auto" w:after="0"/>
            </w:pPr>
            <w:r>
              <w:rPr>
                <w:b w:val="0"/>
                <w:color w:val="000000"/>
                <w:sz w:val="19"/>
              </w:rPr>
              <w:t>audit pagination spans more than 100 entries without duplicates; cursor and search are tenant scoped</w:t>
            </w:r>
          </w:p>
        </w:tc>
      </w:tr>
      <w:tr>
        <w:trPr>
          <w:cantSplit/>
        </w:trPr>
        <w:tc>
          <w:tcPr>
            <w:tcW w:type="dxa" w:w="2952"/>
            <w:vAlign w:val="center"/>
            <w:shd w:fill="FFFFFF"/>
          </w:tcPr>
          <w:p>
            <w:pPr>
              <w:keepNext w:val="0"/>
              <w:spacing w:line="252" w:lineRule="auto" w:after="0"/>
            </w:pPr>
            <w:r>
              <w:rPr>
                <w:b w:val="0"/>
                <w:color w:val="000000"/>
                <w:sz w:val="19"/>
              </w:rPr>
              <w:t>AUT47</w:t>
            </w:r>
          </w:p>
        </w:tc>
        <w:tc>
          <w:tcPr>
            <w:tcW w:type="dxa" w:w="6696"/>
            <w:vAlign w:val="center"/>
            <w:shd w:fill="FFFFFF"/>
          </w:tcPr>
          <w:p>
            <w:pPr>
              <w:keepNext w:val="0"/>
              <w:spacing w:line="252" w:lineRule="auto" w:after="0"/>
            </w:pPr>
            <w:r>
              <w:rPr>
                <w:b w:val="0"/>
                <w:color w:val="000000"/>
                <w:sz w:val="19"/>
              </w:rPr>
              <w:t>offline rejection isolation, transient stops, account isolation, locks and corrupt data preservation</w:t>
            </w:r>
          </w:p>
        </w:tc>
      </w:tr>
      <w:tr>
        <w:trPr>
          <w:cantSplit/>
        </w:trPr>
        <w:tc>
          <w:tcPr>
            <w:tcW w:type="dxa" w:w="2952"/>
            <w:vAlign w:val="center"/>
            <w:shd w:fill="F4F4F4"/>
          </w:tcPr>
          <w:p>
            <w:pPr>
              <w:keepNext w:val="0"/>
              <w:spacing w:line="252" w:lineRule="auto" w:after="0"/>
            </w:pPr>
            <w:r>
              <w:rPr>
                <w:b w:val="0"/>
                <w:color w:val="000000"/>
                <w:sz w:val="19"/>
              </w:rPr>
              <w:t>AUT48</w:t>
            </w:r>
          </w:p>
        </w:tc>
        <w:tc>
          <w:tcPr>
            <w:tcW w:type="dxa" w:w="6696"/>
            <w:vAlign w:val="center"/>
            <w:shd w:fill="F4F4F4"/>
          </w:tcPr>
          <w:p>
            <w:pPr>
              <w:keepNext w:val="0"/>
              <w:spacing w:line="252" w:lineRule="auto" w:after="0"/>
            </w:pPr>
            <w:r>
              <w:rPr>
                <w:b w:val="0"/>
                <w:color w:val="000000"/>
                <w:sz w:val="19"/>
              </w:rPr>
              <w:t>business settings reject invalid combinations and image payloads</w:t>
            </w:r>
          </w:p>
        </w:tc>
      </w:tr>
      <w:tr>
        <w:trPr>
          <w:cantSplit/>
        </w:trPr>
        <w:tc>
          <w:tcPr>
            <w:tcW w:type="dxa" w:w="2952"/>
            <w:vAlign w:val="center"/>
            <w:shd w:fill="FFFFFF"/>
          </w:tcPr>
          <w:p>
            <w:pPr>
              <w:keepNext w:val="0"/>
              <w:spacing w:line="252" w:lineRule="auto" w:after="0"/>
            </w:pPr>
            <w:r>
              <w:rPr>
                <w:b w:val="0"/>
                <w:color w:val="000000"/>
                <w:sz w:val="19"/>
              </w:rPr>
              <w:t>AUT49</w:t>
            </w:r>
          </w:p>
        </w:tc>
        <w:tc>
          <w:tcPr>
            <w:tcW w:type="dxa" w:w="6696"/>
            <w:vAlign w:val="center"/>
            <w:shd w:fill="FFFFFF"/>
          </w:tcPr>
          <w:p>
            <w:pPr>
              <w:keepNext w:val="0"/>
              <w:spacing w:line="252" w:lineRule="auto" w:after="0"/>
            </w:pPr>
            <w:r>
              <w:rPr>
                <w:b w:val="0"/>
                <w:color w:val="000000"/>
                <w:sz w:val="19"/>
              </w:rPr>
              <w:t>tenant isolation, photo replacement/removal, idempotent sales, debt cash and overnight closing</w:t>
            </w:r>
          </w:p>
        </w:tc>
      </w:tr>
      <w:tr>
        <w:trPr>
          <w:cantSplit/>
        </w:trPr>
        <w:tc>
          <w:tcPr>
            <w:tcW w:type="dxa" w:w="2952"/>
            <w:vAlign w:val="center"/>
            <w:shd w:fill="F4F4F4"/>
          </w:tcPr>
          <w:p>
            <w:pPr>
              <w:keepNext w:val="0"/>
              <w:spacing w:line="252" w:lineRule="auto" w:after="0"/>
            </w:pPr>
            <w:r>
              <w:rPr>
                <w:b w:val="0"/>
                <w:color w:val="000000"/>
                <w:sz w:val="19"/>
              </w:rPr>
              <w:t>AUT50</w:t>
            </w:r>
          </w:p>
        </w:tc>
        <w:tc>
          <w:tcPr>
            <w:tcW w:type="dxa" w:w="6696"/>
            <w:vAlign w:val="center"/>
            <w:shd w:fill="F4F4F4"/>
          </w:tcPr>
          <w:p>
            <w:pPr>
              <w:keepNext w:val="0"/>
              <w:spacing w:line="252" w:lineRule="auto" w:after="0"/>
            </w:pPr>
            <w:r>
              <w:rPr>
                <w:b w:val="0"/>
                <w:color w:val="000000"/>
                <w:sz w:val="19"/>
              </w:rPr>
              <w:t>replenishment suggestion targets twice the minimum stock</w:t>
            </w:r>
          </w:p>
        </w:tc>
      </w:tr>
      <w:tr>
        <w:trPr>
          <w:cantSplit/>
        </w:trPr>
        <w:tc>
          <w:tcPr>
            <w:tcW w:type="dxa" w:w="2952"/>
            <w:vAlign w:val="center"/>
            <w:shd w:fill="FFFFFF"/>
          </w:tcPr>
          <w:p>
            <w:pPr>
              <w:keepNext w:val="0"/>
              <w:spacing w:line="252" w:lineRule="auto" w:after="0"/>
            </w:pPr>
            <w:r>
              <w:rPr>
                <w:b w:val="0"/>
                <w:color w:val="000000"/>
                <w:sz w:val="19"/>
              </w:rPr>
              <w:t>AUT51</w:t>
            </w:r>
          </w:p>
        </w:tc>
        <w:tc>
          <w:tcPr>
            <w:tcW w:type="dxa" w:w="6696"/>
            <w:vAlign w:val="center"/>
            <w:shd w:fill="FFFFFF"/>
          </w:tcPr>
          <w:p>
            <w:pPr>
              <w:keepNext w:val="0"/>
              <w:spacing w:line="252" w:lineRule="auto" w:after="0"/>
            </w:pPr>
            <w:r>
              <w:rPr>
                <w:b w:val="0"/>
                <w:color w:val="000000"/>
                <w:sz w:val="19"/>
              </w:rPr>
              <w:t>proposal source keeps the product cost as a reference</w:t>
            </w:r>
          </w:p>
        </w:tc>
      </w:tr>
      <w:tr>
        <w:trPr>
          <w:cantSplit/>
        </w:trPr>
        <w:tc>
          <w:tcPr>
            <w:tcW w:type="dxa" w:w="2952"/>
            <w:vAlign w:val="center"/>
            <w:shd w:fill="F4F4F4"/>
          </w:tcPr>
          <w:p>
            <w:pPr>
              <w:keepNext w:val="0"/>
              <w:spacing w:line="252" w:lineRule="auto" w:after="0"/>
            </w:pPr>
            <w:r>
              <w:rPr>
                <w:b w:val="0"/>
                <w:color w:val="000000"/>
                <w:sz w:val="19"/>
              </w:rPr>
              <w:t>AUT52</w:t>
            </w:r>
          </w:p>
        </w:tc>
        <w:tc>
          <w:tcPr>
            <w:tcW w:type="dxa" w:w="6696"/>
            <w:vAlign w:val="center"/>
            <w:shd w:fill="F4F4F4"/>
          </w:tcPr>
          <w:p>
            <w:pPr>
              <w:keepNext w:val="0"/>
              <w:spacing w:line="252" w:lineRule="auto" w:after="0"/>
            </w:pPr>
            <w:r>
              <w:rPr>
                <w:b w:val="0"/>
                <w:color w:val="000000"/>
                <w:sz w:val="19"/>
              </w:rPr>
              <w:t>recovered tickets use current prices and available stock</w:t>
            </w:r>
          </w:p>
        </w:tc>
      </w:tr>
      <w:tr>
        <w:trPr>
          <w:cantSplit/>
        </w:trPr>
        <w:tc>
          <w:tcPr>
            <w:tcW w:type="dxa" w:w="2952"/>
            <w:vAlign w:val="center"/>
            <w:shd w:fill="FFFFFF"/>
          </w:tcPr>
          <w:p>
            <w:pPr>
              <w:keepNext w:val="0"/>
              <w:spacing w:line="252" w:lineRule="auto" w:after="0"/>
            </w:pPr>
            <w:r>
              <w:rPr>
                <w:b w:val="0"/>
                <w:color w:val="000000"/>
                <w:sz w:val="19"/>
              </w:rPr>
              <w:t>AUT53</w:t>
            </w:r>
          </w:p>
        </w:tc>
        <w:tc>
          <w:tcPr>
            <w:tcW w:type="dxa" w:w="6696"/>
            <w:vAlign w:val="center"/>
            <w:shd w:fill="FFFFFF"/>
          </w:tcPr>
          <w:p>
            <w:pPr>
              <w:keepNext w:val="0"/>
              <w:spacing w:line="252" w:lineRule="auto" w:after="0"/>
            </w:pPr>
            <w:r>
              <w:rPr>
                <w:b w:val="0"/>
                <w:color w:val="000000"/>
                <w:sz w:val="19"/>
              </w:rPr>
              <w:t>unavailable products are removed and discount cannot exceed remaining total</w:t>
            </w:r>
          </w:p>
        </w:tc>
      </w:tr>
      <w:tr>
        <w:trPr>
          <w:cantSplit/>
        </w:trPr>
        <w:tc>
          <w:tcPr>
            <w:tcW w:type="dxa" w:w="2952"/>
            <w:vAlign w:val="center"/>
            <w:shd w:fill="F4F4F4"/>
          </w:tcPr>
          <w:p>
            <w:pPr>
              <w:keepNext w:val="0"/>
              <w:spacing w:line="252" w:lineRule="auto" w:after="0"/>
            </w:pPr>
            <w:r>
              <w:rPr>
                <w:b w:val="0"/>
                <w:color w:val="000000"/>
                <w:sz w:val="19"/>
              </w:rPr>
              <w:t>AUT54</w:t>
            </w:r>
          </w:p>
        </w:tc>
        <w:tc>
          <w:tcPr>
            <w:tcW w:type="dxa" w:w="6696"/>
            <w:vAlign w:val="center"/>
            <w:shd w:fill="F4F4F4"/>
          </w:tcPr>
          <w:p>
            <w:pPr>
              <w:keepNext w:val="0"/>
              <w:spacing w:line="252" w:lineRule="auto" w:after="0"/>
            </w:pPr>
            <w:r>
              <w:rPr>
                <w:b w:val="0"/>
                <w:color w:val="000000"/>
                <w:sz w:val="19"/>
              </w:rPr>
              <w:t>untracked stock does not reduce quantities</w:t>
            </w:r>
          </w:p>
        </w:tc>
      </w:tr>
      <w:tr>
        <w:trPr>
          <w:cantSplit/>
        </w:trPr>
        <w:tc>
          <w:tcPr>
            <w:tcW w:type="dxa" w:w="2952"/>
            <w:vAlign w:val="center"/>
            <w:shd w:fill="FFFFFF"/>
          </w:tcPr>
          <w:p>
            <w:pPr>
              <w:keepNext w:val="0"/>
              <w:spacing w:line="252" w:lineRule="auto" w:after="0"/>
            </w:pPr>
            <w:r>
              <w:rPr>
                <w:b w:val="0"/>
                <w:color w:val="000000"/>
                <w:sz w:val="19"/>
              </w:rPr>
              <w:t>AUT55</w:t>
            </w:r>
          </w:p>
        </w:tc>
        <w:tc>
          <w:tcPr>
            <w:tcW w:type="dxa" w:w="6696"/>
            <w:vAlign w:val="center"/>
            <w:shd w:fill="FFFFFF"/>
          </w:tcPr>
          <w:p>
            <w:pPr>
              <w:keepNext w:val="0"/>
              <w:spacing w:line="252" w:lineRule="auto" w:after="0"/>
            </w:pPr>
            <w:r>
              <w:rPr>
                <w:b w:val="0"/>
                <w:color w:val="000000"/>
                <w:sz w:val="19"/>
              </w:rPr>
              <w:t>storage roundtrip preserves distinct active and held tickets</w:t>
            </w:r>
          </w:p>
        </w:tc>
      </w:tr>
      <w:tr>
        <w:trPr>
          <w:cantSplit/>
        </w:trPr>
        <w:tc>
          <w:tcPr>
            <w:tcW w:type="dxa" w:w="2952"/>
            <w:vAlign w:val="center"/>
            <w:shd w:fill="F4F4F4"/>
          </w:tcPr>
          <w:p>
            <w:pPr>
              <w:keepNext w:val="0"/>
              <w:spacing w:line="252" w:lineRule="auto" w:after="0"/>
            </w:pPr>
            <w:r>
              <w:rPr>
                <w:b w:val="0"/>
                <w:color w:val="000000"/>
                <w:sz w:val="19"/>
              </w:rPr>
              <w:t>AUT56</w:t>
            </w:r>
          </w:p>
        </w:tc>
        <w:tc>
          <w:tcPr>
            <w:tcW w:type="dxa" w:w="6696"/>
            <w:vAlign w:val="center"/>
            <w:shd w:fill="F4F4F4"/>
          </w:tcPr>
          <w:p>
            <w:pPr>
              <w:keepNext w:val="0"/>
              <w:spacing w:line="252" w:lineRule="auto" w:after="0"/>
            </w:pPr>
            <w:r>
              <w:rPr>
                <w:b w:val="0"/>
                <w:color w:val="000000"/>
                <w:sz w:val="19"/>
              </w:rPr>
              <w:t>corrupt storage is rejected instead of loading invalid quantities</w:t>
            </w:r>
          </w:p>
        </w:tc>
      </w:tr>
      <w:tr>
        <w:trPr>
          <w:cantSplit/>
        </w:trPr>
        <w:tc>
          <w:tcPr>
            <w:tcW w:type="dxa" w:w="2952"/>
            <w:vAlign w:val="center"/>
            <w:shd w:fill="FFFFFF"/>
          </w:tcPr>
          <w:p>
            <w:pPr>
              <w:keepNext w:val="0"/>
              <w:spacing w:line="252" w:lineRule="auto" w:after="0"/>
            </w:pPr>
            <w:r>
              <w:rPr>
                <w:b w:val="0"/>
                <w:color w:val="000000"/>
                <w:sz w:val="19"/>
              </w:rPr>
              <w:t>AUT57</w:t>
            </w:r>
          </w:p>
        </w:tc>
        <w:tc>
          <w:tcPr>
            <w:tcW w:type="dxa" w:w="6696"/>
            <w:vAlign w:val="center"/>
            <w:shd w:fill="FFFFFF"/>
          </w:tcPr>
          <w:p>
            <w:pPr>
              <w:keepNext w:val="0"/>
              <w:spacing w:line="252" w:lineRule="auto" w:after="0"/>
            </w:pPr>
            <w:r>
              <w:rPr>
                <w:b w:val="0"/>
                <w:color w:val="000000"/>
                <w:sz w:val="19"/>
              </w:rPr>
              <w:t>storage scopes cannot collide across businesses, users or delimiters</w:t>
            </w:r>
          </w:p>
        </w:tc>
      </w:tr>
    </w:tbl>
    <w:p>
      <w:pPr>
        <w:spacing w:after="20"/>
      </w:pPr>
    </w:p>
    <w:p>
      <w:pPr>
        <w:pStyle w:val="Heading1"/>
      </w:pPr>
      <w:bookmarkStart w:id="6" w:name="h6"/>
      <w:r>
        <w:t>6 Casos de integración HTTP</w:t>
      </w:r>
      <w:bookmarkEnd w:id="6"/>
    </w:p>
    <w:p>
      <w:r>
        <w:t>Los casos se ejecutaron de forma secuencial. El negocio A comenzó con diez unidades de un producto de 1.000 CLP; el negocio B tuvo su propio producto. Después de la venta de dos unidades, el stock de A fue ocho. Repetir su clave mantuvo el mismo identificador de venta y ocho unidades. La venta fiada posterior redujo el stock a siete y generó deuda de 1.000 CLP; el abono dejó 600 CLP pendientes.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642"/>
        <w:gridCol w:w="3443"/>
        <w:gridCol w:w="3563"/>
      </w:tblGrid>
      <w:tr>
        <w:trPr>
          <w:tblHeader/>
          <w:cantSplit/>
        </w:trPr>
        <w:tc>
          <w:tcPr>
            <w:tcW w:type="dxa" w:w="2642"/>
            <w:vAlign w:val="center"/>
            <w:shd w:fill="404040"/>
          </w:tcPr>
          <w:p>
            <w:pPr>
              <w:keepNext w:val="0"/>
              <w:spacing w:line="252" w:lineRule="auto" w:after="0"/>
            </w:pPr>
            <w:r>
              <w:rPr>
                <w:b/>
                <w:color w:val="FFFFFF"/>
                <w:sz w:val="19"/>
              </w:rPr>
              <w:t>Caso</w:t>
            </w:r>
          </w:p>
        </w:tc>
        <w:tc>
          <w:tcPr>
            <w:tcW w:type="dxa" w:w="3443"/>
            <w:vAlign w:val="center"/>
            <w:shd w:fill="404040"/>
          </w:tcPr>
          <w:p>
            <w:pPr>
              <w:keepNext w:val="0"/>
              <w:spacing w:line="252" w:lineRule="auto" w:after="0"/>
            </w:pPr>
            <w:r>
              <w:rPr>
                <w:b/>
                <w:color w:val="FFFFFF"/>
                <w:sz w:val="19"/>
              </w:rPr>
              <w:t>Verificación</w:t>
            </w:r>
          </w:p>
        </w:tc>
        <w:tc>
          <w:tcPr>
            <w:tcW w:type="dxa" w:w="3563"/>
            <w:vAlign w:val="center"/>
            <w:shd w:fill="404040"/>
          </w:tcPr>
          <w:p>
            <w:pPr>
              <w:keepNext w:val="0"/>
              <w:spacing w:line="252" w:lineRule="auto" w:after="0"/>
            </w:pPr>
            <w:r>
              <w:rPr>
                <w:b/>
                <w:color w:val="FFFFFF"/>
                <w:sz w:val="19"/>
              </w:rPr>
              <w:t>Resultado observado</w:t>
            </w:r>
          </w:p>
        </w:tc>
      </w:tr>
      <w:tr>
        <w:trPr>
          <w:cantSplit/>
        </w:trPr>
        <w:tc>
          <w:tcPr>
            <w:tcW w:type="dxa" w:w="2642"/>
            <w:vAlign w:val="center"/>
            <w:shd w:fill="FFFFFF"/>
          </w:tcPr>
          <w:p>
            <w:pPr>
              <w:keepNext w:val="0"/>
              <w:spacing w:line="252" w:lineRule="auto" w:after="0"/>
            </w:pPr>
            <w:r>
              <w:rPr>
                <w:b w:val="0"/>
                <w:color w:val="000000"/>
                <w:sz w:val="19"/>
              </w:rPr>
              <w:t>HTTP01 Acceso sin sesión</w:t>
            </w:r>
          </w:p>
        </w:tc>
        <w:tc>
          <w:tcPr>
            <w:tcW w:type="dxa" w:w="3443"/>
            <w:vAlign w:val="center"/>
            <w:shd w:fill="FFFFFF"/>
          </w:tcPr>
          <w:p>
            <w:pPr>
              <w:keepNext w:val="0"/>
              <w:spacing w:line="252" w:lineRule="auto" w:after="0"/>
            </w:pPr>
            <w:r>
              <w:rPr>
                <w:b w:val="0"/>
                <w:color w:val="000000"/>
                <w:sz w:val="19"/>
              </w:rPr>
              <w:t>401 al consultar productos</w:t>
            </w:r>
          </w:p>
        </w:tc>
        <w:tc>
          <w:tcPr>
            <w:tcW w:type="dxa" w:w="3563"/>
            <w:vAlign w:val="center"/>
            <w:shd w:fill="FFFFFF"/>
          </w:tcPr>
          <w:p>
            <w:pPr>
              <w:keepNext w:val="0"/>
              <w:spacing w:line="252" w:lineRule="auto" w:after="0"/>
              <w:jc w:val="center"/>
            </w:pPr>
            <w:r>
              <w:rPr>
                <w:b w:val="0"/>
                <w:color w:val="000000"/>
                <w:sz w:val="19"/>
              </w:rPr>
              <w:t>status: 401</w:t>
            </w:r>
          </w:p>
        </w:tc>
      </w:tr>
      <w:tr>
        <w:trPr>
          <w:cantSplit/>
        </w:trPr>
        <w:tc>
          <w:tcPr>
            <w:tcW w:type="dxa" w:w="2642"/>
            <w:vAlign w:val="center"/>
            <w:shd w:fill="F4F4F4"/>
          </w:tcPr>
          <w:p>
            <w:pPr>
              <w:keepNext w:val="0"/>
              <w:spacing w:line="252" w:lineRule="auto" w:after="0"/>
            </w:pPr>
            <w:r>
              <w:rPr>
                <w:b w:val="0"/>
                <w:color w:val="000000"/>
                <w:sz w:val="19"/>
              </w:rPr>
              <w:t>HTTP02 Clave incorrecta</w:t>
            </w:r>
          </w:p>
        </w:tc>
        <w:tc>
          <w:tcPr>
            <w:tcW w:type="dxa" w:w="3443"/>
            <w:vAlign w:val="center"/>
            <w:shd w:fill="F4F4F4"/>
          </w:tcPr>
          <w:p>
            <w:pPr>
              <w:keepNext w:val="0"/>
              <w:spacing w:line="252" w:lineRule="auto" w:after="0"/>
            </w:pPr>
            <w:r>
              <w:rPr>
                <w:b w:val="0"/>
                <w:color w:val="000000"/>
                <w:sz w:val="19"/>
              </w:rPr>
              <w:t>401 al iniciar sesión</w:t>
            </w:r>
          </w:p>
        </w:tc>
        <w:tc>
          <w:tcPr>
            <w:tcW w:type="dxa" w:w="3563"/>
            <w:vAlign w:val="center"/>
            <w:shd w:fill="F4F4F4"/>
          </w:tcPr>
          <w:p>
            <w:pPr>
              <w:keepNext w:val="0"/>
              <w:spacing w:line="252" w:lineRule="auto" w:after="0"/>
            </w:pPr>
            <w:r>
              <w:rPr>
                <w:b w:val="0"/>
                <w:color w:val="000000"/>
                <w:sz w:val="19"/>
              </w:rPr>
              <w:t>message: Credenciales invalidas.</w:t>
            </w:r>
          </w:p>
        </w:tc>
      </w:tr>
      <w:tr>
        <w:trPr>
          <w:cantSplit/>
        </w:trPr>
        <w:tc>
          <w:tcPr>
            <w:tcW w:type="dxa" w:w="2642"/>
            <w:vAlign w:val="center"/>
            <w:shd w:fill="FFFFFF"/>
          </w:tcPr>
          <w:p>
            <w:pPr>
              <w:keepNext w:val="0"/>
              <w:spacing w:line="252" w:lineRule="auto" w:after="0"/>
            </w:pPr>
            <w:r>
              <w:rPr>
                <w:b w:val="0"/>
                <w:color w:val="000000"/>
                <w:sz w:val="19"/>
              </w:rPr>
              <w:t>HTTP03 Aislamiento de lectura</w:t>
            </w:r>
          </w:p>
        </w:tc>
        <w:tc>
          <w:tcPr>
            <w:tcW w:type="dxa" w:w="3443"/>
            <w:vAlign w:val="center"/>
            <w:shd w:fill="FFFFFF"/>
          </w:tcPr>
          <w:p>
            <w:pPr>
              <w:keepNext w:val="0"/>
              <w:spacing w:line="252" w:lineRule="auto" w:after="0"/>
            </w:pPr>
            <w:r>
              <w:rPr>
                <w:b w:val="0"/>
                <w:color w:val="000000"/>
                <w:sz w:val="19"/>
              </w:rPr>
              <w:t>Solo producto A al alterar cabecera de negocio</w:t>
            </w:r>
          </w:p>
        </w:tc>
        <w:tc>
          <w:tcPr>
            <w:tcW w:type="dxa" w:w="3563"/>
            <w:vAlign w:val="center"/>
            <w:shd w:fill="FFFFFF"/>
          </w:tcPr>
          <w:p>
            <w:pPr>
              <w:keepNext w:val="0"/>
              <w:spacing w:line="252" w:lineRule="auto" w:after="0"/>
            </w:pPr>
            <w:r>
              <w:rPr>
                <w:b w:val="0"/>
                <w:color w:val="000000"/>
                <w:sz w:val="19"/>
              </w:rPr>
              <w:t>productos A: 1; productos B visibles: 0</w:t>
            </w:r>
          </w:p>
        </w:tc>
      </w:tr>
      <w:tr>
        <w:trPr>
          <w:cantSplit/>
        </w:trPr>
        <w:tc>
          <w:tcPr>
            <w:tcW w:type="dxa" w:w="2642"/>
            <w:vAlign w:val="center"/>
            <w:shd w:fill="F4F4F4"/>
          </w:tcPr>
          <w:p>
            <w:pPr>
              <w:keepNext w:val="0"/>
              <w:spacing w:line="252" w:lineRule="auto" w:after="0"/>
            </w:pPr>
            <w:r>
              <w:rPr>
                <w:b w:val="0"/>
                <w:color w:val="000000"/>
                <w:sz w:val="19"/>
              </w:rPr>
              <w:t>HTTP04 Aislamiento de escritura</w:t>
            </w:r>
          </w:p>
        </w:tc>
        <w:tc>
          <w:tcPr>
            <w:tcW w:type="dxa" w:w="3443"/>
            <w:vAlign w:val="center"/>
            <w:shd w:fill="F4F4F4"/>
          </w:tcPr>
          <w:p>
            <w:pPr>
              <w:keepNext w:val="0"/>
              <w:spacing w:line="252" w:lineRule="auto" w:after="0"/>
            </w:pPr>
            <w:r>
              <w:rPr>
                <w:b w:val="0"/>
                <w:color w:val="000000"/>
                <w:sz w:val="19"/>
              </w:rPr>
              <w:t>404 y ningún cambio sobre producto B</w:t>
            </w:r>
          </w:p>
        </w:tc>
        <w:tc>
          <w:tcPr>
            <w:tcW w:type="dxa" w:w="3563"/>
            <w:vAlign w:val="center"/>
            <w:shd w:fill="F4F4F4"/>
          </w:tcPr>
          <w:p>
            <w:pPr>
              <w:keepNext w:val="0"/>
              <w:spacing w:line="252" w:lineRule="auto" w:after="0"/>
            </w:pPr>
            <w:r>
              <w:rPr>
                <w:b w:val="0"/>
                <w:color w:val="000000"/>
                <w:sz w:val="19"/>
              </w:rPr>
              <w:t>status: 404; producto B sin cambios: sí</w:t>
            </w:r>
          </w:p>
        </w:tc>
      </w:tr>
      <w:tr>
        <w:trPr>
          <w:cantSplit/>
        </w:trPr>
        <w:tc>
          <w:tcPr>
            <w:tcW w:type="dxa" w:w="2642"/>
            <w:vAlign w:val="center"/>
            <w:shd w:fill="FFFFFF"/>
          </w:tcPr>
          <w:p>
            <w:pPr>
              <w:keepNext w:val="0"/>
              <w:spacing w:line="252" w:lineRule="auto" w:after="0"/>
            </w:pPr>
            <w:r>
              <w:rPr>
                <w:b w:val="0"/>
                <w:color w:val="000000"/>
                <w:sz w:val="19"/>
              </w:rPr>
              <w:t>HTTP05 Permiso vendedor</w:t>
            </w:r>
          </w:p>
        </w:tc>
        <w:tc>
          <w:tcPr>
            <w:tcW w:type="dxa" w:w="3443"/>
            <w:vAlign w:val="center"/>
            <w:shd w:fill="FFFFFF"/>
          </w:tcPr>
          <w:p>
            <w:pPr>
              <w:keepNext w:val="0"/>
              <w:spacing w:line="252" w:lineRule="auto" w:after="0"/>
            </w:pPr>
            <w:r>
              <w:rPr>
                <w:b w:val="0"/>
                <w:color w:val="000000"/>
                <w:sz w:val="19"/>
              </w:rPr>
              <w:t>403 al crear productos</w:t>
            </w:r>
          </w:p>
        </w:tc>
        <w:tc>
          <w:tcPr>
            <w:tcW w:type="dxa" w:w="3563"/>
            <w:vAlign w:val="center"/>
            <w:shd w:fill="FFFFFF"/>
          </w:tcPr>
          <w:p>
            <w:pPr>
              <w:keepNext w:val="0"/>
              <w:spacing w:line="252" w:lineRule="auto" w:after="0"/>
            </w:pPr>
            <w:r>
              <w:rPr>
                <w:b w:val="0"/>
                <w:color w:val="000000"/>
                <w:sz w:val="19"/>
              </w:rPr>
              <w:t>message: Tu rol no tiene permisos para realizar esta accion.</w:t>
            </w:r>
          </w:p>
        </w:tc>
      </w:tr>
      <w:tr>
        <w:trPr>
          <w:cantSplit/>
        </w:trPr>
        <w:tc>
          <w:tcPr>
            <w:tcW w:type="dxa" w:w="2642"/>
            <w:vAlign w:val="center"/>
            <w:shd w:fill="F4F4F4"/>
          </w:tcPr>
          <w:p>
            <w:pPr>
              <w:keepNext w:val="0"/>
              <w:spacing w:line="252" w:lineRule="auto" w:after="0"/>
            </w:pPr>
            <w:r>
              <w:rPr>
                <w:b w:val="0"/>
                <w:color w:val="000000"/>
                <w:sz w:val="19"/>
              </w:rPr>
              <w:t>HTTP06 Venta inválida sin efectos</w:t>
            </w:r>
          </w:p>
        </w:tc>
        <w:tc>
          <w:tcPr>
            <w:tcW w:type="dxa" w:w="3443"/>
            <w:vAlign w:val="center"/>
            <w:shd w:fill="F4F4F4"/>
          </w:tcPr>
          <w:p>
            <w:pPr>
              <w:keepNext w:val="0"/>
              <w:spacing w:line="252" w:lineRule="auto" w:after="0"/>
            </w:pPr>
            <w:r>
              <w:rPr>
                <w:b w:val="0"/>
                <w:color w:val="000000"/>
                <w:sz w:val="19"/>
              </w:rPr>
              <w:t>Rechazo de cantidad negativa y conservación de stock</w:t>
            </w:r>
          </w:p>
        </w:tc>
        <w:tc>
          <w:tcPr>
            <w:tcW w:type="dxa" w:w="3563"/>
            <w:vAlign w:val="center"/>
            <w:shd w:fill="F4F4F4"/>
          </w:tcPr>
          <w:p>
            <w:pPr>
              <w:keepNext w:val="0"/>
              <w:spacing w:line="252" w:lineRule="auto" w:after="0"/>
            </w:pPr>
            <w:r>
              <w:rPr>
                <w:b w:val="0"/>
                <w:color w:val="000000"/>
                <w:sz w:val="19"/>
              </w:rPr>
              <w:t>status: 400; stock: 10; ventas nuevas: 0</w:t>
            </w:r>
          </w:p>
        </w:tc>
      </w:tr>
      <w:tr>
        <w:trPr>
          <w:cantSplit/>
        </w:trPr>
        <w:tc>
          <w:tcPr>
            <w:tcW w:type="dxa" w:w="2642"/>
            <w:vAlign w:val="center"/>
            <w:shd w:fill="FFFFFF"/>
          </w:tcPr>
          <w:p>
            <w:pPr>
              <w:keepNext w:val="0"/>
              <w:spacing w:line="252" w:lineRule="auto" w:after="0"/>
            </w:pPr>
            <w:r>
              <w:rPr>
                <w:b w:val="0"/>
                <w:color w:val="000000"/>
                <w:sz w:val="19"/>
              </w:rPr>
              <w:t>HTTP07 Venta y descuento de stock</w:t>
            </w:r>
          </w:p>
        </w:tc>
        <w:tc>
          <w:tcPr>
            <w:tcW w:type="dxa" w:w="3443"/>
            <w:vAlign w:val="center"/>
            <w:shd w:fill="FFFFFF"/>
          </w:tcPr>
          <w:p>
            <w:pPr>
              <w:keepNext w:val="0"/>
              <w:spacing w:line="252" w:lineRule="auto" w:after="0"/>
            </w:pPr>
            <w:r>
              <w:rPr>
                <w:b w:val="0"/>
                <w:color w:val="000000"/>
                <w:sz w:val="19"/>
              </w:rPr>
              <w:t>Venta por 2000 CLP y stock de 10 a 8</w:t>
            </w:r>
          </w:p>
        </w:tc>
        <w:tc>
          <w:tcPr>
            <w:tcW w:type="dxa" w:w="3563"/>
            <w:vAlign w:val="center"/>
            <w:shd w:fill="FFFFFF"/>
          </w:tcPr>
          <w:p>
            <w:pPr>
              <w:keepNext w:val="0"/>
              <w:spacing w:line="252" w:lineRule="auto" w:after="0"/>
            </w:pPr>
            <w:r>
              <w:rPr>
                <w:b w:val="0"/>
                <w:color w:val="000000"/>
                <w:sz w:val="19"/>
              </w:rPr>
              <w:t>total CLP: 2000; stock final: 8</w:t>
            </w:r>
          </w:p>
        </w:tc>
      </w:tr>
      <w:tr>
        <w:trPr>
          <w:cantSplit/>
        </w:trPr>
        <w:tc>
          <w:tcPr>
            <w:tcW w:type="dxa" w:w="2642"/>
            <w:vAlign w:val="center"/>
            <w:shd w:fill="F4F4F4"/>
          </w:tcPr>
          <w:p>
            <w:pPr>
              <w:keepNext w:val="0"/>
              <w:spacing w:line="252" w:lineRule="auto" w:after="0"/>
            </w:pPr>
            <w:r>
              <w:rPr>
                <w:b w:val="0"/>
                <w:color w:val="000000"/>
                <w:sz w:val="19"/>
              </w:rPr>
              <w:t>HTTP08 Reintento idempotente</w:t>
            </w:r>
          </w:p>
        </w:tc>
        <w:tc>
          <w:tcPr>
            <w:tcW w:type="dxa" w:w="3443"/>
            <w:vAlign w:val="center"/>
            <w:shd w:fill="F4F4F4"/>
          </w:tcPr>
          <w:p>
            <w:pPr>
              <w:keepNext w:val="0"/>
              <w:spacing w:line="252" w:lineRule="auto" w:after="0"/>
            </w:pPr>
            <w:r>
              <w:rPr>
                <w:b w:val="0"/>
                <w:color w:val="000000"/>
                <w:sz w:val="19"/>
              </w:rPr>
              <w:t>Una venta y stock 8 tras repetir la misma clave</w:t>
            </w:r>
          </w:p>
        </w:tc>
        <w:tc>
          <w:tcPr>
            <w:tcW w:type="dxa" w:w="3563"/>
            <w:vAlign w:val="center"/>
            <w:shd w:fill="F4F4F4"/>
          </w:tcPr>
          <w:p>
            <w:pPr>
              <w:keepNext w:val="0"/>
              <w:spacing w:line="252" w:lineRule="auto" w:after="0"/>
            </w:pPr>
            <w:r>
              <w:rPr>
                <w:b w:val="0"/>
                <w:color w:val="000000"/>
                <w:sz w:val="19"/>
              </w:rPr>
              <w:t>misma venta: sí; ventas: 1; stock: 8</w:t>
            </w:r>
          </w:p>
        </w:tc>
      </w:tr>
      <w:tr>
        <w:trPr>
          <w:cantSplit/>
        </w:trPr>
        <w:tc>
          <w:tcPr>
            <w:tcW w:type="dxa" w:w="2642"/>
            <w:vAlign w:val="center"/>
            <w:shd w:fill="FFFFFF"/>
          </w:tcPr>
          <w:p>
            <w:pPr>
              <w:keepNext w:val="0"/>
              <w:spacing w:line="252" w:lineRule="auto" w:after="0"/>
            </w:pPr>
            <w:r>
              <w:rPr>
                <w:b w:val="0"/>
                <w:color w:val="000000"/>
                <w:sz w:val="19"/>
              </w:rPr>
              <w:t>HTTP09 Venta fiada</w:t>
            </w:r>
          </w:p>
        </w:tc>
        <w:tc>
          <w:tcPr>
            <w:tcW w:type="dxa" w:w="3443"/>
            <w:vAlign w:val="center"/>
            <w:shd w:fill="FFFFFF"/>
          </w:tcPr>
          <w:p>
            <w:pPr>
              <w:keepNext w:val="0"/>
              <w:spacing w:line="252" w:lineRule="auto" w:after="0"/>
            </w:pPr>
            <w:r>
              <w:rPr>
                <w:b w:val="0"/>
                <w:color w:val="000000"/>
                <w:sz w:val="19"/>
              </w:rPr>
              <w:t>Deuda de 1000 CLP vinculada al cliente</w:t>
            </w:r>
          </w:p>
        </w:tc>
        <w:tc>
          <w:tcPr>
            <w:tcW w:type="dxa" w:w="3563"/>
            <w:vAlign w:val="center"/>
            <w:shd w:fill="FFFFFF"/>
          </w:tcPr>
          <w:p>
            <w:pPr>
              <w:keepNext w:val="0"/>
              <w:spacing w:line="252" w:lineRule="auto" w:after="0"/>
            </w:pPr>
            <w:r>
              <w:rPr>
                <w:b w:val="0"/>
                <w:color w:val="000000"/>
                <w:sz w:val="19"/>
              </w:rPr>
              <w:t>deuda CLP: 1000; stock final: 7</w:t>
            </w:r>
          </w:p>
        </w:tc>
      </w:tr>
      <w:tr>
        <w:trPr>
          <w:cantSplit/>
        </w:trPr>
        <w:tc>
          <w:tcPr>
            <w:tcW w:type="dxa" w:w="2642"/>
            <w:vAlign w:val="center"/>
            <w:shd w:fill="F4F4F4"/>
          </w:tcPr>
          <w:p>
            <w:pPr>
              <w:keepNext w:val="0"/>
              <w:spacing w:line="252" w:lineRule="auto" w:after="0"/>
            </w:pPr>
            <w:r>
              <w:rPr>
                <w:b w:val="0"/>
                <w:color w:val="000000"/>
                <w:sz w:val="19"/>
              </w:rPr>
              <w:t>HTTP10 Abono de deuda</w:t>
            </w:r>
          </w:p>
        </w:tc>
        <w:tc>
          <w:tcPr>
            <w:tcW w:type="dxa" w:w="3443"/>
            <w:vAlign w:val="center"/>
            <w:shd w:fill="F4F4F4"/>
          </w:tcPr>
          <w:p>
            <w:pPr>
              <w:keepNext w:val="0"/>
              <w:spacing w:line="252" w:lineRule="auto" w:after="0"/>
            </w:pPr>
            <w:r>
              <w:rPr>
                <w:b w:val="0"/>
                <w:color w:val="000000"/>
                <w:sz w:val="19"/>
              </w:rPr>
              <w:t>Saldo de 1000 a 600 CLP</w:t>
            </w:r>
          </w:p>
        </w:tc>
        <w:tc>
          <w:tcPr>
            <w:tcW w:type="dxa" w:w="3563"/>
            <w:vAlign w:val="center"/>
            <w:shd w:fill="F4F4F4"/>
          </w:tcPr>
          <w:p>
            <w:pPr>
              <w:keepNext w:val="0"/>
              <w:spacing w:line="252" w:lineRule="auto" w:after="0"/>
            </w:pPr>
            <w:r>
              <w:rPr>
                <w:b w:val="0"/>
                <w:color w:val="000000"/>
                <w:sz w:val="19"/>
              </w:rPr>
              <w:t>abono CLP: 400; saldo CLP: 600</w:t>
            </w:r>
          </w:p>
        </w:tc>
      </w:tr>
      <w:tr>
        <w:trPr>
          <w:cantSplit/>
        </w:trPr>
        <w:tc>
          <w:tcPr>
            <w:tcW w:type="dxa" w:w="2642"/>
            <w:vAlign w:val="center"/>
            <w:shd w:fill="FFFFFF"/>
          </w:tcPr>
          <w:p>
            <w:pPr>
              <w:keepNext w:val="0"/>
              <w:spacing w:line="252" w:lineRule="auto" w:after="0"/>
            </w:pPr>
            <w:r>
              <w:rPr>
                <w:b w:val="0"/>
                <w:color w:val="000000"/>
                <w:sz w:val="19"/>
              </w:rPr>
              <w:t>HTTP11 Consulta de auditoría por rol</w:t>
            </w:r>
          </w:p>
        </w:tc>
        <w:tc>
          <w:tcPr>
            <w:tcW w:type="dxa" w:w="3443"/>
            <w:vAlign w:val="center"/>
            <w:shd w:fill="FFFFFF"/>
          </w:tcPr>
          <w:p>
            <w:pPr>
              <w:keepNext w:val="0"/>
              <w:spacing w:line="252" w:lineRule="auto" w:after="0"/>
            </w:pPr>
            <w:r>
              <w:rPr>
                <w:b w:val="0"/>
                <w:color w:val="000000"/>
                <w:sz w:val="19"/>
              </w:rPr>
              <w:t>Dueño obtiene eventos y vendedor recibe 403</w:t>
            </w:r>
          </w:p>
        </w:tc>
        <w:tc>
          <w:tcPr>
            <w:tcW w:type="dxa" w:w="3563"/>
            <w:vAlign w:val="center"/>
            <w:shd w:fill="FFFFFF"/>
          </w:tcPr>
          <w:p>
            <w:pPr>
              <w:keepNext w:val="0"/>
              <w:spacing w:line="252" w:lineRule="auto" w:after="0"/>
            </w:pPr>
            <w:r>
              <w:rPr>
                <w:b w:val="0"/>
                <w:color w:val="000000"/>
                <w:sz w:val="19"/>
              </w:rPr>
              <w:t>eventos visibles owner: 6; seller status: 403</w:t>
            </w:r>
          </w:p>
        </w:tc>
      </w:tr>
      <w:tr>
        <w:trPr>
          <w:cantSplit/>
        </w:trPr>
        <w:tc>
          <w:tcPr>
            <w:tcW w:type="dxa" w:w="2642"/>
            <w:vAlign w:val="center"/>
            <w:shd w:fill="F4F4F4"/>
          </w:tcPr>
          <w:p>
            <w:pPr>
              <w:keepNext w:val="0"/>
              <w:spacing w:line="252" w:lineRule="auto" w:after="0"/>
            </w:pPr>
            <w:r>
              <w:rPr>
                <w:b w:val="0"/>
                <w:color w:val="000000"/>
                <w:sz w:val="19"/>
              </w:rPr>
              <w:t>HTTP12 Revocación de sesión</w:t>
            </w:r>
          </w:p>
        </w:tc>
        <w:tc>
          <w:tcPr>
            <w:tcW w:type="dxa" w:w="3443"/>
            <w:vAlign w:val="center"/>
            <w:shd w:fill="F4F4F4"/>
          </w:tcPr>
          <w:p>
            <w:pPr>
              <w:keepNext w:val="0"/>
              <w:spacing w:line="252" w:lineRule="auto" w:after="0"/>
            </w:pPr>
            <w:r>
              <w:rPr>
                <w:b w:val="0"/>
                <w:color w:val="000000"/>
                <w:sz w:val="19"/>
              </w:rPr>
              <w:t>401 después de cerrar sesión</w:t>
            </w:r>
          </w:p>
        </w:tc>
        <w:tc>
          <w:tcPr>
            <w:tcW w:type="dxa" w:w="3563"/>
            <w:vAlign w:val="center"/>
            <w:shd w:fill="F4F4F4"/>
          </w:tcPr>
          <w:p>
            <w:pPr>
              <w:keepNext w:val="0"/>
              <w:spacing w:line="252" w:lineRule="auto" w:after="0"/>
            </w:pPr>
            <w:r>
              <w:rPr>
                <w:b w:val="0"/>
                <w:color w:val="000000"/>
                <w:sz w:val="19"/>
              </w:rPr>
              <w:t>sesion revocada: sí; status: 401</w:t>
            </w:r>
          </w:p>
        </w:tc>
      </w:tr>
    </w:tbl>
    <w:p>
      <w:pPr>
        <w:spacing w:after="20"/>
      </w:pPr>
    </w:p>
    <w:p>
      <w:r>
        <w:t>La consulta de auditoría devolvió seis eventos al dueño y rechazó al vendedor. Eso verifica acceso y presencia de eventos para esta secuencia; no demuestra que toda operación del sistema audite atómicamente. Las duraciones individuales guardadas en JSON describen una corrida local pequeña y no son una prueba de rendimiento.</w:t>
      </w:r>
    </w:p>
    <w:p>
      <w:pPr>
        <w:pStyle w:val="Heading1"/>
      </w:pPr>
      <w:bookmarkStart w:id="7" w:name="h7"/>
      <w:r>
        <w:t>7 Incidencias del instrumento y bloqueos</w:t>
      </w:r>
      <w:bookmarkEnd w:id="7"/>
    </w:p>
    <w:p>
      <w:r>
        <w:t>El primer guion esperaba HTTP 201 para el abono; el contrato implementado devuelve HTTP 200. El segundo intento quiso interpretar como JSON la respuesta vacía HTTP 204 de logout. Se corrigieron ambas expectativas del instrumento y se repitió toda la campaña. Los intentos iniciales se conservan junto a la evidencia para que el resultado final no oculte ese ajuste. No se modificó código del producto para aprobar las comprobaciones.</w:t>
      </w:r>
    </w:p>
    <w:p>
      <w:r>
        <w:t>El lanzamiento de navegador falló por ausencia del binario esperado. La descarga alternativa terminó con un archivo inválido. No se registran capturas ni resultados de interacción como si se hubieran obtenido. Los archivos de prueba incluyen comprobaciones de contraste sobre valores de color y selectores; no equivalen a una auditoría completa WCAG ni a una sesión con lector de pantalla (W3C, 2023).</w:t>
      </w:r>
    </w:p>
    <w:p>
      <w:pPr>
        <w:pStyle w:val="Heading1"/>
      </w:pPr>
      <w:bookmarkStart w:id="8" w:name="h8"/>
      <w:r>
        <w:t>8 Reproducción de la campaña</w:t>
      </w:r>
      <w:bookmarkEnd w:id="8"/>
    </w:p>
    <w:p>
      <w:r>
        <w:t>Usar un clon limpio del commit indicado, Node y npm compatibles y un ambiente de prueba sin credenciales de producción. Conservar las versiones exactas del entorno. Ejecutar instalación y tipos, y luego el siguiente runner desde la raíz. La opción de importación sigue el uso documentado de tsx con Node (Node.js, s. f.; tsx, s. f.).</w:t>
      </w:r>
    </w:p>
    <w:p>
      <w:pPr>
        <w:pStyle w:val="Code"/>
      </w:pPr>
      <w:r>
        <w:t>npm ci --include=dev --ignore-scripts --no-audit --no-fund</w:t>
      </w:r>
    </w:p>
    <w:p>
      <w:pPr>
        <w:pStyle w:val="Code"/>
      </w:pPr>
      <w:r>
        <w:t>npm run build -w packages/shared</w:t>
      </w:r>
    </w:p>
    <w:p>
      <w:pPr>
        <w:pStyle w:val="Code"/>
      </w:pPr>
      <w:r>
        <w:t>npm run typecheck</w:t>
      </w:r>
    </w:p>
    <w:p>
      <w:pPr>
        <w:pStyle w:val="Code"/>
      </w:pPr>
      <w:r>
        <w:t xml:space="preserve">node --import tsx --test --test-isolation=none --test-reporter=tap </w:t>
      </w:r>
    </w:p>
    <w:p>
      <w:pPr>
        <w:pStyle w:val="Code"/>
      </w:pPr>
      <w:r>
        <w:t xml:space="preserve">apps/api/src/localito.test.ts scripts/improvements.test.ts scripts/hardening.test.ts </w:t>
      </w:r>
    </w:p>
    <w:p>
      <w:pPr>
        <w:pStyle w:val="Code"/>
      </w:pPr>
      <w:r>
        <w:t xml:space="preserve">scripts/design.test.ts scripts/dashboard.test.ts scripts/inventory.test.ts </w:t>
      </w:r>
    </w:p>
    <w:p>
      <w:pPr>
        <w:pStyle w:val="Code"/>
      </w:pPr>
      <w:r>
        <w:t>scripts/sale-workspace.test.ts</w:t>
      </w:r>
    </w:p>
    <w:p>
      <w:pPr>
        <w:pStyle w:val="Code"/>
      </w:pPr>
      <w:r>
        <w:t>npm run build</w:t>
      </w:r>
    </w:p>
    <w:p>
      <w:pPr>
        <w:spacing w:after="20"/>
      </w:pPr>
    </w:p>
    <w:p>
      <w:r>
        <w:t xml:space="preserve">Para HTTP, iniciar la API con </w:t>
      </w:r>
      <w:r>
        <w:rPr>
          <w:rFonts w:ascii="DejaVu Sans Mono" w:hAnsi="DejaVu Sans Mono"/>
          <w:sz w:val="18"/>
        </w:rPr>
        <w:t>API_HOST=127.0.0.1</w:t>
      </w:r>
      <w:r>
        <w:t xml:space="preserve">, </w:t>
      </w:r>
      <w:r>
        <w:rPr>
          <w:rFonts w:ascii="DejaVu Sans Mono" w:hAnsi="DejaVu Sans Mono"/>
          <w:sz w:val="18"/>
        </w:rPr>
        <w:t>API_PORT=43201</w:t>
      </w:r>
      <w:r>
        <w:t xml:space="preserve">, </w:t>
      </w:r>
      <w:r>
        <w:rPr>
          <w:rFonts w:ascii="DejaVu Sans Mono" w:hAnsi="DejaVu Sans Mono"/>
          <w:sz w:val="18"/>
        </w:rPr>
        <w:t>NODE_ENV=development</w:t>
      </w:r>
      <w:r>
        <w:t xml:space="preserve"> y sin variables de conexión a base de datos ni plataforma Vercel. Ejecutar </w:t>
      </w:r>
      <w:r>
        <w:rPr>
          <w:rFonts w:ascii="DejaVu Sans Mono" w:hAnsi="DejaVu Sans Mono"/>
          <w:sz w:val="18"/>
        </w:rPr>
        <w:t>node --import tsx apps/api/src/server.ts</w:t>
      </w:r>
      <w:r>
        <w:t xml:space="preserve"> en ese ambiente y luego </w:t>
      </w:r>
      <w:r>
        <w:rPr>
          <w:rFonts w:ascii="DejaVu Sans Mono" w:hAnsi="DejaVu Sans Mono"/>
          <w:sz w:val="18"/>
        </w:rPr>
        <w:t>python3 validar_api.py</w:t>
      </w:r>
      <w:r>
        <w:t xml:space="preserve"> desde la carpeta de evidencias. El guion verifica que la salud indique almacenamiento en memoria antes de crear sus datos. Cada ejecución crea negocios de prueba independientes. Detener el proceso al finalizar. No apuntar el guion a producción.</w:t>
      </w:r>
    </w:p>
    <w:p>
      <w:r>
        <w:t>La reproducción debe conservar salida completa, código de salida, commit, versiones y fecha. Si se cambia el runner, sus opciones o el servicio persistente, se registra una nueva campaña con su alcance, en lugar de reemplazar silenciosamente los resultados anteriores.</w:t>
      </w:r>
    </w:p>
    <w:p>
      <w:pPr>
        <w:pStyle w:val="Heading1"/>
      </w:pPr>
      <w:bookmarkStart w:id="9" w:name="h9"/>
      <w:r>
        <w:t>9 Evidencias  integridad y custodia</w:t>
      </w:r>
      <w:bookmarkEnd w:id="9"/>
    </w:p>
    <w:p>
      <w:r>
        <w:t>La carpeta de evidencias incluye logs, salidas, guion HTTP, resultados finales y dos intentos iniciales. El manifiesto SHA-256 permite comprobar que los archivos recibidos no cambiaron. Los registros contienen datos sintéticos y no incluyen tokens de sesión ni credenciales de comercios reales. El manifiesto del código conserva rutas y hashes de blobs de los 105 archivos recuperados, no una afirmación de haber auditado todos los archivos del repositorio.</w:t>
      </w:r>
    </w:p>
    <w:p>
      <w:pPr>
        <w:pStyle w:val="Heading1"/>
      </w:pPr>
      <w:bookmarkStart w:id="10" w:name="h10"/>
      <w:r>
        <w:t>10 Interpretación y acciones pendientes</w:t>
      </w:r>
      <w:bookmarkEnd w:id="10"/>
    </w:p>
    <w:p>
      <w:r>
        <w:t>La evidencia respalda las reglas comprobadas en memoria y la integración HTTP local. La mayor incertidumbre técnica restante está en transacciones concurrentes y recuperación persistente. Deben ejecutarse CP114–118 sobre PostgreSQL, registrar estados antes y después y comprobar aislamiento con dos negocios. CP119–120 cubren fallos de red y cambios al sincronizar; CP121–123 cubren dispositivos, usuarios y carga bajo condiciones definidas.</w:t>
      </w:r>
    </w:p>
    <w:p>
      <w:r>
        <w:t>La aceptación de las historias corresponde al equipo y al Product Owner. Este informe no cambia estados de Sprint ni demuestra éxito comercial. El Control de entrega identifica qué evidencias faltan y quién puede coordinarlas.</w:t>
      </w:r>
    </w:p>
    <w:p>
      <w:pPr>
        <w:pStyle w:val="Heading1"/>
      </w:pPr>
      <w:bookmarkStart w:id="11" w:name="h11"/>
      <w:r>
        <w:t>11 Conclusiones</w:t>
      </w:r>
      <w:bookmarkEnd w:id="11"/>
    </w:p>
    <w:p>
      <w:r>
        <w:t>Los resultados actuales permiten defender la implementación y los mecanismos probados con evidencia rastreable. La tesis debe describirse como avance técnicamente verificado dentro de este alcance y completar el trabajo de campo y las pruebas persistentes antes de sostener conclusiones de uso, recuperación o desempeño productivo.</w:t>
      </w:r>
    </w:p>
    <w:p>
      <w:pPr>
        <w:pStyle w:val="Heading1"/>
      </w:pPr>
      <w:bookmarkStart w:id="12" w:name="h12"/>
      <w:r>
        <w:t>12 Referencias</w:t>
      </w:r>
      <w:bookmarkEnd w:id="12"/>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pPr>
      <w:r>
        <w:t xml:space="preserve">Equipo Localito (2026). </w:t>
      </w:r>
      <w:r>
        <w:rPr>
          <w:i/>
        </w:rPr>
        <w:t>LocalitoSaaS [Código y documentación, commit ddb9956cf35cfb2035f62528299fd6bb2c9b7d5c]</w:t>
      </w:r>
      <w:r>
        <w:t xml:space="preserve">. </w:t>
      </w:r>
      <w:hyperlink r:id="rId11">
        <w:r>
          <w:rPr>
            <w:color w:val="000000"/>
          </w:rPr>
          <w:t xml:space="preserve">https://github.com/CamiloGonzalezSt/LocalitoSaaS/tree/ddb9956cf35cfb2035f62528299fd6bb2c9b7d5c</w:t>
        </w:r>
      </w:hyperlink>
    </w:p>
    <w:p>
      <w:pPr>
        <w:keepLines/>
        <w:ind w:left="432" w:hanging="432"/>
      </w:pPr>
      <w:r>
        <w:t xml:space="preserve">Node.js (s. f.). </w:t>
      </w:r>
      <w:r>
        <w:rPr>
          <w:i/>
        </w:rPr>
        <w:t>Test runner</w:t>
      </w:r>
      <w:r>
        <w:t xml:space="preserve">. </w:t>
      </w:r>
      <w:hyperlink r:id="rId12">
        <w:r>
          <w:rPr>
            <w:color w:val="000000"/>
          </w:rPr>
          <w:t xml:space="preserve">https://nodejs.org/api/test.html</w:t>
        </w:r>
      </w:hyperlink>
    </w:p>
    <w:p>
      <w:pPr>
        <w:keepLines/>
        <w:ind w:left="432" w:hanging="432"/>
      </w:pPr>
      <w:r>
        <w:t xml:space="preserve">tsx (s. f.). </w:t>
      </w:r>
      <w:r>
        <w:rPr>
          <w:i/>
        </w:rPr>
        <w:t>Node.js CLI</w:t>
      </w:r>
      <w:r>
        <w:t xml:space="preserve">. </w:t>
      </w:r>
      <w:hyperlink r:id="rId13">
        <w:r>
          <w:rPr>
            <w:color w:val="000000"/>
          </w:rPr>
          <w:t xml:space="preserve">https://github.com/privatenumber/tsx/blob/master/docs/dev-api/node-cli.md</w:t>
        </w:r>
      </w:hyperlink>
    </w:p>
    <w:p>
      <w:pPr>
        <w:keepLines/>
        <w:ind w:left="432" w:hanging="432"/>
      </w:pPr>
      <w:r>
        <w:t xml:space="preserve">World Wide Web Consortium (2023). </w:t>
      </w:r>
      <w:r>
        <w:rPr>
          <w:i/>
        </w:rPr>
        <w:t>Web Content Accessibility Guidelines 2.2</w:t>
      </w:r>
      <w:r>
        <w:t xml:space="preserve">. </w:t>
      </w:r>
      <w:hyperlink r:id="rId14">
        <w:r>
          <w:rPr>
            <w:color w:val="000000"/>
          </w:rPr>
          <w:t xml:space="preserve">https://www.w3.org/TR/WCAG22/</w:t>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Informe de verificación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CamiloGonzalezSt/LocalitoSaaS/tree/ddb9956cf35cfb2035f62528299fd6bb2c9b7d5c" TargetMode="External"/><Relationship Id="rId12" Type="http://schemas.openxmlformats.org/officeDocument/2006/relationships/hyperlink" Target="https://nodejs.org/api/test.html" TargetMode="External"/><Relationship Id="rId13" Type="http://schemas.openxmlformats.org/officeDocument/2006/relationships/hyperlink" Target="https://github.com/privatenumber/tsx/blob/master/docs/dev-api/node-cli.md" TargetMode="External"/><Relationship Id="rId1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verificación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