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</w:pPr>
      <w:r>
        <w:rPr>
          <w:b/>
        </w:rPr>
        <w:t>DUOC UC PLAZA NORTE</w:t>
      </w:r>
    </w:p>
    <w:p>
      <w:pPr>
        <w:pStyle w:val="Title"/>
        <w:spacing w:before="480" w:after="360"/>
      </w:pPr>
      <w:r>
        <w:t>Manual técnico de Localito</w:t>
      </w:r>
    </w:p>
    <w:p>
      <w:pPr>
        <w:pStyle w:val="Subtitle"/>
      </w:pPr>
      <w:r>
        <w:t>Proyecto Capstone de Ingeniería en Informática</w:t>
      </w:r>
    </w:p>
    <w:p>
      <w:pPr>
        <w:pStyle w:val="Subtitle"/>
      </w:pPr>
      <w:r>
        <w:t>Localito PWA SaaS para gestión de pequeños comercios</w:t>
      </w:r>
    </w:p>
    <w:p>
      <w:pPr>
        <w:spacing w:before="760"/>
      </w:pPr>
      <w:r>
        <w:rPr>
          <w:b/>
        </w:rPr>
        <w:t>Autores</w:t>
      </w:r>
    </w:p>
    <w:p>
      <w:r>
        <w:t>Camilo González</w:t>
        <w:br/>
        <w:t>Alexander Patiño</w:t>
        <w:br/>
        <w:t>Samuel Solís</w:t>
      </w:r>
    </w:p>
    <w:p>
      <w:r>
        <w:t>Docente Álvaro Andrés Mellado Pimentel</w:t>
      </w:r>
    </w:p>
    <w:p>
      <w:r>
        <w:t>Revisión documental 04 de octubre de 2026</w:t>
        <w:br/>
        <w:t>Estados de Scrum al 03 de octubre de 2026</w:t>
      </w:r>
    </w:p>
    <w:p>
      <w:pPr>
        <w:spacing w:before="400"/>
      </w:pPr>
      <w:r>
        <w:t>Este documento desarrolla manual técnico con evidencia del repositorio y referencias públicas. Distingue implementación, resultados históricos y mejoras pendientes.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h1">
        <w:r>
          <w:rPr>
            <w:color w:val="000000"/>
          </w:rPr>
          <w:t xml:space="preserve">1 Resumen ejecutivo</w:t>
        </w:r>
      </w:hyperlink>
      <w:r>
        <w:tab/>
      </w:r>
      <w:r>
        <w:fldChar w:fldCharType="begin"/>
      </w:r>
      <w:r>
        <w:instrText xml:space="preserve"> PAGEREF h1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2">
        <w:r>
          <w:rPr>
            <w:color w:val="000000"/>
          </w:rPr>
          <w:t xml:space="preserve">2 Introducción y requisitos</w:t>
        </w:r>
      </w:hyperlink>
      <w:r>
        <w:tab/>
      </w:r>
      <w:r>
        <w:fldChar w:fldCharType="begin"/>
      </w:r>
      <w:r>
        <w:instrText xml:space="preserve"> PAGEREF h2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3">
        <w:r>
          <w:rPr>
            <w:color w:val="000000"/>
          </w:rPr>
          <w:t xml:space="preserve">3 Instalación desde un entorno limpio</w:t>
        </w:r>
      </w:hyperlink>
      <w:r>
        <w:tab/>
      </w:r>
      <w:r>
        <w:fldChar w:fldCharType="begin"/>
      </w:r>
      <w:r>
        <w:instrText xml:space="preserve"> PAGEREF h3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4">
        <w:r>
          <w:rPr>
            <w:color w:val="000000"/>
          </w:rPr>
          <w:t xml:space="preserve">4 Base de datos y servidor</w:t>
        </w:r>
      </w:hyperlink>
      <w:r>
        <w:tab/>
      </w:r>
      <w:r>
        <w:fldChar w:fldCharType="begin"/>
      </w:r>
      <w:r>
        <w:instrText xml:space="preserve"> PAGEREF h4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5">
        <w:r>
          <w:rPr>
            <w:color w:val="000000"/>
          </w:rPr>
          <w:t xml:space="preserve">5 Variables de configuración</w:t>
        </w:r>
      </w:hyperlink>
      <w:r>
        <w:tab/>
      </w:r>
      <w:r>
        <w:fldChar w:fldCharType="begin"/>
      </w:r>
      <w:r>
        <w:instrText xml:space="preserve"> PAGEREF h5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6">
        <w:r>
          <w:rPr>
            <w:color w:val="000000"/>
          </w:rPr>
          <w:t xml:space="preserve">6 Validación de instalación</w:t>
        </w:r>
      </w:hyperlink>
      <w:r>
        <w:tab/>
      </w:r>
      <w:r>
        <w:fldChar w:fldCharType="begin"/>
      </w:r>
      <w:r>
        <w:instrText xml:space="preserve"> PAGEREF h6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7">
        <w:r>
          <w:rPr>
            <w:color w:val="000000"/>
          </w:rPr>
          <w:t xml:space="preserve">7 Configuración del despliegue</w:t>
        </w:r>
      </w:hyperlink>
      <w:r>
        <w:tab/>
      </w:r>
      <w:r>
        <w:fldChar w:fldCharType="begin"/>
      </w:r>
      <w:r>
        <w:instrText xml:space="preserve"> PAGEREF h7 \h </w:instrText>
      </w:r>
      <w:r>
        <w:fldChar w:fldCharType="separate"/>
      </w:r>
      <w:r>
        <w:t>5</w:t>
      </w:r>
      <w:r>
        <w:fldChar w:fldCharType="end"/>
      </w:r>
    </w:p>
    <w:p>
      <w:pPr>
        <w:pStyle w:val="TOC1"/>
      </w:pPr>
      <w:hyperlink w:anchor="h8">
        <w:r>
          <w:rPr>
            <w:color w:val="000000"/>
          </w:rPr>
          <w:t xml:space="preserve">8 Operación de ventas pendientes</w:t>
        </w:r>
      </w:hyperlink>
      <w:r>
        <w:tab/>
      </w:r>
      <w:r>
        <w:fldChar w:fldCharType="begin"/>
      </w:r>
      <w:r>
        <w:instrText xml:space="preserve"> PAGEREF h8 \h </w:instrText>
      </w:r>
      <w:r>
        <w:fldChar w:fldCharType="separate"/>
      </w:r>
      <w:r>
        <w:t>5</w:t>
      </w:r>
      <w:r>
        <w:fldChar w:fldCharType="end"/>
      </w:r>
    </w:p>
    <w:p>
      <w:pPr>
        <w:pStyle w:val="TOC1"/>
      </w:pPr>
      <w:hyperlink w:anchor="h9">
        <w:r>
          <w:rPr>
            <w:color w:val="000000"/>
          </w:rPr>
          <w:t xml:space="preserve">9 Diagnóstico por síntomas</w:t>
        </w:r>
      </w:hyperlink>
      <w:r>
        <w:tab/>
      </w:r>
      <w:r>
        <w:fldChar w:fldCharType="begin"/>
      </w:r>
      <w:r>
        <w:instrText xml:space="preserve"> PAGEREF h9 \h </w:instrText>
      </w:r>
      <w:r>
        <w:fldChar w:fldCharType="separate"/>
      </w:r>
      <w:r>
        <w:t>5</w:t>
      </w:r>
      <w:r>
        <w:fldChar w:fldCharType="end"/>
      </w:r>
    </w:p>
    <w:p>
      <w:pPr>
        <w:pStyle w:val="TOC1"/>
      </w:pPr>
      <w:hyperlink w:anchor="h10">
        <w:r>
          <w:rPr>
            <w:color w:val="000000"/>
          </w:rPr>
          <w:t xml:space="preserve">10 Respaldo y restauración</w:t>
        </w:r>
      </w:hyperlink>
      <w:r>
        <w:tab/>
      </w:r>
      <w:r>
        <w:fldChar w:fldCharType="begin"/>
      </w:r>
      <w:r>
        <w:instrText xml:space="preserve"> PAGEREF h10 \h </w:instrText>
      </w:r>
      <w:r>
        <w:fldChar w:fldCharType="separate"/>
      </w:r>
      <w:r>
        <w:t>5</w:t>
      </w:r>
      <w:r>
        <w:fldChar w:fldCharType="end"/>
      </w:r>
    </w:p>
    <w:p>
      <w:pPr>
        <w:pStyle w:val="TOC1"/>
      </w:pPr>
      <w:hyperlink w:anchor="h11">
        <w:r>
          <w:rPr>
            <w:color w:val="000000"/>
          </w:rPr>
          <w:t xml:space="preserve">11 Seguridad y mantenimiento</w:t>
        </w:r>
      </w:hyperlink>
      <w:r>
        <w:tab/>
      </w:r>
      <w:r>
        <w:fldChar w:fldCharType="begin"/>
      </w:r>
      <w:r>
        <w:instrText xml:space="preserve"> PAGEREF h11 \h </w:instrText>
      </w:r>
      <w:r>
        <w:fldChar w:fldCharType="separate"/>
      </w:r>
      <w:r>
        <w:t>6</w:t>
      </w:r>
      <w:r>
        <w:fldChar w:fldCharType="end"/>
      </w:r>
    </w:p>
    <w:p>
      <w:pPr>
        <w:pStyle w:val="TOC1"/>
      </w:pPr>
      <w:hyperlink w:anchor="h12">
        <w:r>
          <w:rPr>
            <w:color w:val="000000"/>
          </w:rPr>
          <w:t xml:space="preserve">12 Registro de incidencias de la fuente</w:t>
        </w:r>
      </w:hyperlink>
      <w:r>
        <w:tab/>
      </w:r>
      <w:r>
        <w:fldChar w:fldCharType="begin"/>
      </w:r>
      <w:r>
        <w:instrText xml:space="preserve"> PAGEREF h12 \h </w:instrText>
      </w:r>
      <w:r>
        <w:fldChar w:fldCharType="separate"/>
      </w:r>
      <w:r>
        <w:t>6</w:t>
      </w:r>
      <w:r>
        <w:fldChar w:fldCharType="end"/>
      </w:r>
    </w:p>
    <w:p>
      <w:pPr>
        <w:pStyle w:val="TOC1"/>
      </w:pPr>
      <w:hyperlink w:anchor="h13">
        <w:r>
          <w:rPr>
            <w:color w:val="000000"/>
          </w:rPr>
          <w:t xml:space="preserve">13 Operación de Localito en producción</w:t>
        </w:r>
      </w:hyperlink>
      <w:r>
        <w:tab/>
      </w:r>
      <w:r>
        <w:fldChar w:fldCharType="begin"/>
      </w:r>
      <w:r>
        <w:instrText xml:space="preserve"> PAGEREF h13 \h </w:instrText>
      </w:r>
      <w:r>
        <w:fldChar w:fldCharType="separate"/>
      </w:r>
      <w:r>
        <w:t>6</w:t>
      </w:r>
      <w:r>
        <w:fldChar w:fldCharType="end"/>
      </w:r>
    </w:p>
    <w:p>
      <w:pPr>
        <w:pStyle w:val="TOC2"/>
      </w:pPr>
      <w:hyperlink w:anchor="h14">
        <w:r>
          <w:rPr>
            <w:color w:val="000000"/>
          </w:rPr>
          <w:t xml:space="preserve">13.1 Bloqueo de devoluciones en funciones serverless</w:t>
        </w:r>
      </w:hyperlink>
      <w:r>
        <w:tab/>
      </w:r>
      <w:r>
        <w:fldChar w:fldCharType="begin"/>
      </w:r>
      <w:r>
        <w:instrText xml:space="preserve"> PAGEREF h14 \h </w:instrText>
      </w:r>
      <w:r>
        <w:fldChar w:fldCharType="separate"/>
      </w:r>
      <w:r>
        <w:t>6</w:t>
      </w:r>
      <w:r>
        <w:fldChar w:fldCharType="end"/>
      </w:r>
    </w:p>
    <w:p>
      <w:pPr>
        <w:pStyle w:val="TOC2"/>
      </w:pPr>
      <w:hyperlink w:anchor="h15">
        <w:r>
          <w:rPr>
            <w:color w:val="000000"/>
          </w:rPr>
          <w:t xml:space="preserve">13.2 Verificación de ventas y visión  26 09 2026</w:t>
        </w:r>
      </w:hyperlink>
      <w:r>
        <w:tab/>
      </w:r>
      <w:r>
        <w:fldChar w:fldCharType="begin"/>
      </w:r>
      <w:r>
        <w:instrText xml:space="preserve"> PAGEREF h15 \h </w:instrText>
      </w:r>
      <w:r>
        <w:fldChar w:fldCharType="separate"/>
      </w:r>
      <w:r>
        <w:t>6</w:t>
      </w:r>
      <w:r>
        <w:fldChar w:fldCharType="end"/>
      </w:r>
    </w:p>
    <w:p>
      <w:pPr>
        <w:pStyle w:val="TOC2"/>
      </w:pPr>
      <w:hyperlink w:anchor="h16">
        <w:r>
          <w:rPr>
            <w:color w:val="000000"/>
          </w:rPr>
          <w:t xml:space="preserve">13.3 Recuperación de API  26 09 2026</w:t>
        </w:r>
      </w:hyperlink>
      <w:r>
        <w:tab/>
      </w:r>
      <w:r>
        <w:fldChar w:fldCharType="begin"/>
      </w:r>
      <w:r>
        <w:instrText xml:space="preserve"> PAGEREF h16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17">
        <w:r>
          <w:rPr>
            <w:color w:val="000000"/>
          </w:rPr>
          <w:t xml:space="preserve">13.4 Verificación diaria</w:t>
        </w:r>
      </w:hyperlink>
      <w:r>
        <w:tab/>
      </w:r>
      <w:r>
        <w:fldChar w:fldCharType="begin"/>
      </w:r>
      <w:r>
        <w:instrText xml:space="preserve"> PAGEREF h17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8">
        <w:r>
          <w:rPr>
            <w:color w:val="000000"/>
          </w:rPr>
          <w:t xml:space="preserve">13.5 Respaldos</w:t>
        </w:r>
      </w:hyperlink>
      <w:r>
        <w:tab/>
      </w:r>
      <w:r>
        <w:fldChar w:fldCharType="begin"/>
      </w:r>
      <w:r>
        <w:instrText xml:space="preserve"> PAGEREF h18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9">
        <w:r>
          <w:rPr>
            <w:color w:val="000000"/>
          </w:rPr>
          <w:t xml:space="preserve">13.6 Incidentes</w:t>
        </w:r>
      </w:hyperlink>
      <w:r>
        <w:tab/>
      </w:r>
      <w:r>
        <w:fldChar w:fldCharType="begin"/>
      </w:r>
      <w:r>
        <w:instrText xml:space="preserve"> PAGEREF h19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20">
        <w:r>
          <w:rPr>
            <w:color w:val="000000"/>
          </w:rPr>
          <w:t xml:space="preserve">13.7 Costos a vigilar</w:t>
        </w:r>
      </w:hyperlink>
      <w:r>
        <w:tab/>
      </w:r>
      <w:r>
        <w:fldChar w:fldCharType="begin"/>
      </w:r>
      <w:r>
        <w:instrText xml:space="preserve"> PAGEREF h20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21">
        <w:r>
          <w:rPr>
            <w:color w:val="000000"/>
          </w:rPr>
          <w:t xml:space="preserve">13.8 Reglas de seguridad</w:t>
        </w:r>
      </w:hyperlink>
      <w:r>
        <w:tab/>
      </w:r>
      <w:r>
        <w:fldChar w:fldCharType="begin"/>
      </w:r>
      <w:r>
        <w:instrText xml:space="preserve"> PAGEREF h21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22">
        <w:r>
          <w:rPr>
            <w:color w:val="000000"/>
          </w:rPr>
          <w:t xml:space="preserve">13.9 Despliegue de esta versión</w:t>
        </w:r>
      </w:hyperlink>
      <w:r>
        <w:tab/>
      </w:r>
      <w:r>
        <w:fldChar w:fldCharType="begin"/>
      </w:r>
      <w:r>
        <w:instrText xml:space="preserve"> PAGEREF h22 \h </w:instrText>
      </w:r>
      <w:r>
        <w:fldChar w:fldCharType="separate"/>
      </w:r>
      <w:r>
        <w:t>9</w:t>
      </w:r>
      <w:r>
        <w:fldChar w:fldCharType="end"/>
      </w:r>
    </w:p>
    <w:p>
      <w:pPr>
        <w:pStyle w:val="TOC2"/>
      </w:pPr>
      <w:hyperlink w:anchor="h23">
        <w:r>
          <w:rPr>
            <w:color w:val="000000"/>
          </w:rPr>
          <w:t xml:space="preserve">13.10 Ventas pendientes y dispositivos</w:t>
        </w:r>
      </w:hyperlink>
      <w:r>
        <w:tab/>
      </w:r>
      <w:r>
        <w:fldChar w:fldCharType="begin"/>
      </w:r>
      <w:r>
        <w:instrText xml:space="preserve"> PAGEREF h23 \h </w:instrText>
      </w:r>
      <w:r>
        <w:fldChar w:fldCharType="separate"/>
      </w:r>
      <w:r>
        <w:t>9</w:t>
      </w:r>
      <w:r>
        <w:fldChar w:fldCharType="end"/>
      </w:r>
    </w:p>
    <w:p>
      <w:pPr>
        <w:pStyle w:val="TOC2"/>
      </w:pPr>
      <w:hyperlink w:anchor="h24">
        <w:r>
          <w:rPr>
            <w:color w:val="000000"/>
          </w:rPr>
          <w:t xml:space="preserve">13.11 Credenciales e imágenes</w:t>
        </w:r>
      </w:hyperlink>
      <w:r>
        <w:tab/>
      </w:r>
      <w:r>
        <w:fldChar w:fldCharType="begin"/>
      </w:r>
      <w:r>
        <w:instrText xml:space="preserve"> PAGEREF h24 \h </w:instrText>
      </w:r>
      <w:r>
        <w:fldChar w:fldCharType="separate"/>
      </w:r>
      <w:r>
        <w:t>9</w:t>
      </w:r>
      <w:r>
        <w:fldChar w:fldCharType="end"/>
      </w:r>
    </w:p>
    <w:p>
      <w:pPr>
        <w:pStyle w:val="TOC1"/>
      </w:pPr>
      <w:hyperlink w:anchor="h25">
        <w:r>
          <w:rPr>
            <w:color w:val="000000"/>
          </w:rPr>
          <w:t xml:space="preserve">14 Evidencias relacionadas con esta versión</w:t>
        </w:r>
      </w:hyperlink>
      <w:r>
        <w:tab/>
      </w:r>
      <w:r>
        <w:fldChar w:fldCharType="begin"/>
      </w:r>
      <w:r>
        <w:instrText xml:space="preserve"> PAGEREF h25 \h </w:instrText>
      </w:r>
      <w:r>
        <w:fldChar w:fldCharType="separate"/>
      </w:r>
      <w:r>
        <w:t>10</w:t>
      </w:r>
      <w:r>
        <w:fldChar w:fldCharType="end"/>
      </w:r>
    </w:p>
    <w:p>
      <w:pPr>
        <w:pStyle w:val="TOC1"/>
      </w:pPr>
      <w:hyperlink w:anchor="h26">
        <w:r>
          <w:rPr>
            <w:color w:val="000000"/>
          </w:rPr>
          <w:t xml:space="preserve">15 Conclusiones</w:t>
        </w:r>
      </w:hyperlink>
      <w:r>
        <w:tab/>
      </w:r>
      <w:r>
        <w:fldChar w:fldCharType="begin"/>
      </w:r>
      <w:r>
        <w:instrText xml:space="preserve"> PAGEREF h26 \h </w:instrText>
      </w:r>
      <w:r>
        <w:fldChar w:fldCharType="separate"/>
      </w:r>
      <w:r>
        <w:t>10</w:t>
      </w:r>
      <w:r>
        <w:fldChar w:fldCharType="end"/>
      </w:r>
    </w:p>
    <w:p>
      <w:pPr>
        <w:pStyle w:val="TOC1"/>
      </w:pPr>
      <w:hyperlink w:anchor="h27">
        <w:r>
          <w:rPr>
            <w:color w:val="000000"/>
          </w:rPr>
          <w:t xml:space="preserve">16 Referencias</w:t>
        </w:r>
      </w:hyperlink>
      <w:r>
        <w:tab/>
      </w:r>
      <w:r>
        <w:fldChar w:fldCharType="begin"/>
      </w:r>
      <w:r>
        <w:instrText xml:space="preserve"> PAGEREF h27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r>
        <w:br w:type="page"/>
      </w:r>
    </w:p>
    <w:p>
      <w:pPr>
        <w:pStyle w:val="Heading1"/>
      </w:pPr>
      <w:bookmarkStart w:id="1" w:name="h1"/>
      <w:r>
        <w:t>1 Resumen ejecutivo</w:t>
      </w:r>
      <w:bookmarkEnd w:id="1"/>
    </w:p>
    <w:p>
      <w:r>
        <w:t>El manual describe instalación y operación de Localito en un computador de desarrollo y el diseño de despliegue en Vercel con PostgreSQL administrado. Incluye variables, salud, verificación, IA, PWA, diagnóstico y procedimientos de recuperación. Los comandos corresponden a package.json y archivos del commit base.</w:t>
      </w:r>
    </w:p>
    <w:p>
      <w:r>
        <w:t>El documento es una guía operativa y no acredita un despliegue nuevo. Los estados históricos de producción se mantienen como antecedentes fechados. La revisión no abrió bases ni modificó secretos o infraestructura del usuario.</w:t>
      </w:r>
    </w:p>
    <w:p>
      <w:pPr>
        <w:pStyle w:val="Heading1"/>
      </w:pPr>
      <w:bookmarkStart w:id="2" w:name="h2"/>
      <w:r>
        <w:t>2 Introducción y requisitos</w:t>
      </w:r>
      <w:bookmarkEnd w:id="2"/>
    </w:p>
    <w:p>
      <w:r>
        <w:t>El usuario técnico debe poder reconstruir el ambiente, identificar el modo de persistencia y reconocer errores sin perder ventas pendientes. Se necesita Node 20 o superior, npm 10 o superior, PostgreSQL o Docker Compose y un navegador compatible. Cámara e IA requieren condiciones adicionales de contexto seguro y servicio remoto.</w:t>
      </w:r>
    </w:p>
    <w:p>
      <w:r>
        <w:t>Antes de comenzar, registrar commit, sistema operativo y versiones de node, npm y Docker. Los requisitos del proyecto provienen de sus manifests, no de una actualización de tecnologías. Se conserva package-lock.json y se utiliza npm ci para reproducir dependencias.</w:t>
      </w:r>
    </w:p>
    <w:p>
      <w:pPr>
        <w:pStyle w:val="Heading1"/>
      </w:pPr>
      <w:bookmarkStart w:id="3" w:name="h3"/>
      <w:r>
        <w:t>3 Instalación desde un entorno limpio</w:t>
      </w:r>
      <w:bookmarkEnd w:id="3"/>
    </w:p>
    <w:p>
      <w:pPr>
        <w:pStyle w:val="Code"/>
      </w:pPr>
      <w:r>
        <w:t>git clone https://github.com/CamiloGonzalezSt/LocalitoSaaS.git</w:t>
      </w:r>
    </w:p>
    <w:p>
      <w:pPr>
        <w:pStyle w:val="Code"/>
      </w:pPr>
      <w:r>
        <w:t>cd LocalitoSaaS</w:t>
      </w:r>
    </w:p>
    <w:p>
      <w:pPr>
        <w:pStyle w:val="Code"/>
      </w:pPr>
      <w:r>
        <w:t>npm ci</w:t>
      </w:r>
    </w:p>
    <w:p>
      <w:pPr>
        <w:spacing w:after="20"/>
      </w:pPr>
    </w:p>
    <w:p>
      <w:r>
        <w:t>En Windows se copia el archivo con copy .env.example .env; en Linux o macOS con cp .env.example .env. Se revisan los valores antes de iniciar la API. .env debe permanecer fuera del repositorio. No se copian node_modules entre computadores porque la instalación reproduce dependencias y binarios del ambiente destino.</w:t>
      </w:r>
    </w:p>
    <w:p>
      <w:pPr>
        <w:pStyle w:val="Heading1"/>
      </w:pPr>
      <w:bookmarkStart w:id="4" w:name="h4"/>
      <w:r>
        <w:t>4 Base de datos y servidor</w:t>
      </w:r>
      <w:bookmarkEnd w:id="4"/>
    </w:p>
    <w:p>
      <w:pPr>
        <w:pStyle w:val="Code"/>
      </w:pPr>
      <w:r>
        <w:t>npm run db:up</w:t>
      </w:r>
    </w:p>
    <w:p>
      <w:pPr>
        <w:pStyle w:val="Code"/>
      </w:pPr>
      <w:r>
        <w:t>npm run dev:api</w:t>
      </w:r>
    </w:p>
    <w:p>
      <w:pPr>
        <w:spacing w:after="20"/>
      </w:pPr>
    </w:p>
    <w:p>
      <w:r>
        <w:t xml:space="preserve">El primer comando inicia PostgreSQL según Docker Compose. El segundo inicia Express y crea el repositorio. Si la conexión no está disponible en desarrollo, puede usarse MemoryRepository; ese modo pierde datos al reiniciar. Para comprobar PostgreSQL se consulta </w:t>
      </w:r>
      <w:hyperlink r:id="rId11">
        <w:r>
          <w:rPr>
            <w:color w:val="000000"/>
          </w:rPr>
          <w:t xml:space="preserve">http://localhost:3000/health</w:t>
        </w:r>
      </w:hyperlink>
      <w:r>
        <w:t xml:space="preserve"> y se revisa storage:postgres. La salud por sí sola no prueba una venta.</w:t>
      </w:r>
    </w:p>
    <w:p>
      <w:r>
        <w:t xml:space="preserve">En otra terminal se ejecuta npm run dev:web y se abre </w:t>
      </w:r>
      <w:hyperlink r:id="rId12">
        <w:r>
          <w:rPr>
            <w:color w:val="000000"/>
          </w:rPr>
          <w:t xml:space="preserve">http://localhost:5173</w:t>
        </w:r>
      </w:hyperlink>
      <w:r>
        <w:t>.</w:t>
      </w:r>
      <w:r>
        <w:t xml:space="preserve"> Los puertos declarados difieren de capturas históricas que pudieron usar otro puerto ocupado; se debe seguir la URL efectiva de Vite. Para móvil en la red local se utiliza la IP del computador, se verifica firewall y proxy y se conserva el origen donde existe una cola.</w:t>
      </w:r>
    </w:p>
    <w:p>
      <w:pPr>
        <w:pStyle w:val="Heading1"/>
      </w:pPr>
      <w:bookmarkStart w:id="5" w:name="h5"/>
      <w:r>
        <w:t>5 Variables de configuración</w:t>
      </w:r>
      <w:bookmarkEnd w:id="5"/>
    </w:p>
    <w:p>
      <w:pPr>
        <w:pStyle w:val="Code"/>
      </w:pPr>
      <w:r>
        <w:t>NODE_ENV=development</w:t>
      </w:r>
    </w:p>
    <w:p>
      <w:pPr>
        <w:pStyle w:val="Code"/>
      </w:pPr>
      <w:r>
        <w:t>API_PORT=3000</w:t>
      </w:r>
    </w:p>
    <w:p>
      <w:pPr>
        <w:pStyle w:val="Code"/>
      </w:pPr>
      <w:r>
        <w:t>API_HOST=0.0.0.0</w:t>
      </w:r>
    </w:p>
    <w:p>
      <w:pPr>
        <w:pStyle w:val="Code"/>
      </w:pPr>
      <w:r>
        <w:t>WEB_ORIGIN=http://localhost:5173</w:t>
      </w:r>
    </w:p>
    <w:p>
      <w:pPr>
        <w:pStyle w:val="Code"/>
      </w:pPr>
      <w:r>
        <w:t>DATABASE_URL=postgresql://localito:localito@localhost:5432/localito</w:t>
      </w:r>
    </w:p>
    <w:p>
      <w:pPr>
        <w:pStyle w:val="Code"/>
      </w:pPr>
      <w:r>
        <w:t>OWNER_DEMO_PASSWORD=Duoc2026</w:t>
      </w:r>
    </w:p>
    <w:p>
      <w:pPr>
        <w:pStyle w:val="Code"/>
      </w:pPr>
      <w:r>
        <w:t>SELLER_DEMO_PASSWORD=Duoc2026V</w:t>
      </w:r>
    </w:p>
    <w:p>
      <w:pPr>
        <w:pStyle w:val="Code"/>
      </w:pPr>
      <w:r>
        <w:t>PLATFORM_ADMIN_EMAIL=admin@example.com</w:t>
      </w:r>
    </w:p>
    <w:p>
      <w:pPr>
        <w:pStyle w:val="Code"/>
      </w:pPr>
      <w:r>
        <w:t>PLATFORM_ADMIN_PASSWORD=change-this-before-production</w:t>
      </w:r>
    </w:p>
    <w:p>
      <w:pPr>
        <w:pStyle w:val="Code"/>
      </w:pPr>
      <w:r>
        <w:t>SESSION_SECRET=change-this-in-production-with-a-long-random-value</w:t>
      </w:r>
    </w:p>
    <w:p>
      <w:pPr>
        <w:pStyle w:val="Code"/>
      </w:pPr>
      <w:r>
        <w:t>APP_URL=http://localhost:5173</w:t>
      </w:r>
    </w:p>
    <w:p>
      <w:pPr>
        <w:pStyle w:val="Code"/>
      </w:pPr>
      <w:r>
        <w:t>EMAIL_PROVIDER=gmail</w:t>
      </w:r>
    </w:p>
    <w:p>
      <w:pPr>
        <w:pStyle w:val="Code"/>
      </w:pPr>
      <w:r>
        <w:t>GMAIL_USER=tu-correo@gmail.com</w:t>
      </w:r>
    </w:p>
    <w:p>
      <w:pPr>
        <w:pStyle w:val="Code"/>
      </w:pPr>
      <w:r>
        <w:t>GMAIL_APP_PASSWORD=</w:t>
      </w:r>
    </w:p>
    <w:p>
      <w:pPr>
        <w:pStyle w:val="Code"/>
      </w:pPr>
      <w:r>
        <w:t>EMAIL_FROM=Localito &lt;tu-correo@gmail.com&gt;</w:t>
      </w:r>
    </w:p>
    <w:p>
      <w:pPr>
        <w:pStyle w:val="Code"/>
      </w:pPr>
      <w:r>
        <w:t>RESEND_API_KEY=</w:t>
      </w:r>
    </w:p>
    <w:p>
      <w:pPr>
        <w:pStyle w:val="Code"/>
      </w:pPr>
    </w:p>
    <w:p>
      <w:pPr>
        <w:pStyle w:val="Code"/>
      </w:pPr>
      <w:r>
        <w:t># Recomendado para la tesis: proveedor visual con plan gratuito.</w:t>
      </w:r>
    </w:p>
    <w:p>
      <w:pPr>
        <w:pStyle w:val="Code"/>
      </w:pPr>
      <w:r>
        <w:t>VISION_PROVIDER=groq</w:t>
      </w:r>
    </w:p>
    <w:p>
      <w:pPr>
        <w:pStyle w:val="Code"/>
      </w:pPr>
      <w:r>
        <w:t>GROQ_API_KEY=</w:t>
      </w:r>
    </w:p>
    <w:p>
      <w:pPr>
        <w:pStyle w:val="Code"/>
      </w:pPr>
      <w:r>
        <w:t>GROQ_VISION_MODEL=qwen/qwen3.8-27b</w:t>
      </w:r>
    </w:p>
    <w:p>
      <w:pPr>
        <w:pStyle w:val="Code"/>
      </w:pPr>
    </w:p>
    <w:p>
      <w:pPr>
        <w:pStyle w:val="Code"/>
      </w:pPr>
      <w:r>
        <w:t># Alternativa opcional de pago.</w:t>
      </w:r>
    </w:p>
    <w:p>
      <w:pPr>
        <w:pStyle w:val="Code"/>
      </w:pPr>
      <w:r>
        <w:t>OPENAI_API_KEY=</w:t>
      </w:r>
    </w:p>
    <w:p>
      <w:pPr>
        <w:pStyle w:val="Code"/>
      </w:pPr>
      <w:r>
        <w:t>OPENAI_VISION_MODEL=gpt-5.6</w:t>
      </w:r>
    </w:p>
    <w:p>
      <w:pPr>
        <w:spacing w:after="20"/>
      </w:pPr>
    </w:p>
    <w:p>
      <w:r>
        <w:t>DATABASE_URL tiene prioridad sobre POSTGRES_URL y SUPABASE_DB_URL según resolveDatabaseUrl. NODE_ENV production o VERCEL=1 exige PostgreSQL. WEB_ORIGIN configura acceso del cliente. SESSION_SECRET y contraseñas administrativas deben ser valores propios seguros. EMAIL_PROVIDER y claves de correo habilitan envío; la existencia del formulario no garantiza que un correo salga.</w:t>
      </w:r>
    </w:p>
    <w:p>
      <w:r>
        <w:t>VISION_PROVIDER elige el adaptador y las claves se mantienen en backend. Los modelos ejemplificados son identificadores del código auditado y no una confirmación de disponibilidad actual del proveedor. Se deben revisar capacidades, cuotas y modelo habilitado antes de ejecutar una fotografía. No se colocan API keys en variables públicas del frontend.</w:t>
      </w:r>
    </w:p>
    <w:p>
      <w:pPr>
        <w:pStyle w:val="Heading1"/>
      </w:pPr>
      <w:bookmarkStart w:id="6" w:name="h6"/>
      <w:r>
        <w:t>6 Validación de instalación</w:t>
      </w:r>
      <w:bookmarkEnd w:id="6"/>
    </w:p>
    <w:p>
      <w:r>
        <w:t>Se inicia sesión con cuentas de prueba permitidas, se revisa catálogo y se registra una venta aislada. Se comprueba stock inicial y final. Después se reinicia el backend y se verifica persistencia. El procedimiento no debe utilizar datos reales ni repetir pagos externos para comprobar una respuesta.</w:t>
      </w:r>
    </w:p>
    <w:p>
      <w:pPr>
        <w:pStyle w:val="Code"/>
      </w:pPr>
      <w:r>
        <w:t>npm run check</w:t>
      </w:r>
    </w:p>
    <w:p>
      <w:pPr>
        <w:spacing w:after="20"/>
      </w:pPr>
    </w:p>
    <w:p>
      <w:r>
        <w:t>El comando ejecuta tipos, pruebas y build. Se conserva la salida y se revisan fallos antes de declarar instalación validada. La campaña del 04 de octubre completó tipos, pruebas y build por separado tras el bloqueo de tsx en check. Los casos integrales PostgreSQL, móviles y UAT se registran por separado.</w:t>
      </w:r>
    </w:p>
    <w:p>
      <w:pPr>
        <w:pStyle w:val="Heading1"/>
      </w:pPr>
      <w:bookmarkStart w:id="7" w:name="h7"/>
      <w:r>
        <w:t>7 Configuración del despliegue</w:t>
      </w:r>
      <w:bookmarkEnd w:id="7"/>
    </w:p>
    <w:p>
      <w:r>
        <w:t>Vercel sirve web y API mediante las rutas descritas en vercel.json y el adaptador api/index.ts. Supabase proporciona conexión PostgreSQL (Supabase, s. f.a; Vercel, s. f.). Se copia la URI desde el proyecto correcto y el pooler recomendado para ese ambiente; no se construye una conexión inventando host o usuario.</w:t>
      </w:r>
    </w:p>
    <w:p>
      <w:r>
        <w:t>El cambio de variables requiere un despliegue que las incorpore. La URL documentada localito-saas.vercel.app es un antecedente del proyecto; esta tarea no comprobó su estado actual. La comprobación debe usar /api/health, login y una operación de prueba. Configuración visual verdadera en health indica claves disponibles, no respuesta satisfactoria del proveedor.</w:t>
      </w:r>
    </w:p>
    <w:p>
      <w:pPr>
        <w:pStyle w:val="Heading1"/>
      </w:pPr>
      <w:bookmarkStart w:id="8" w:name="h8"/>
      <w:r>
        <w:t>8 Operación de ventas pendientes</w:t>
      </w:r>
      <w:bookmarkEnd w:id="8"/>
    </w:p>
    <w:p>
      <w:r>
        <w:t>La cola pertenece a una cuenta y a un origen del navegador. Antes de intervenir se revisan pendientes y se exporta respaldo desde la interfaz. No se limpia almacenamiento, cambia dominio o reinstala navegador como primera medida. El respaldo puede contener identificadores y notas y no debe subirse a GitHub.</w:t>
      </w:r>
    </w:p>
    <w:p>
      <w:r>
        <w:t>Se conserva la idempotencyKey original al reintentar. Un rechazo de stock requiere revisar catálogo y operación; un error de sesión exige recuperar autenticación. Después de una respuesta ambigua se consulta la venta. El precio aplicado al sincronizar proviene del servidor y puede diferir del observado offline; esa diferencia se concilia con el pago externo antes de cerrar turno.</w:t>
      </w:r>
    </w:p>
    <w:p>
      <w:pPr>
        <w:pStyle w:val="Heading1"/>
      </w:pPr>
      <w:bookmarkStart w:id="9" w:name="h9"/>
      <w:r>
        <w:t>9 Diagnóstico por síntomas</w:t>
      </w:r>
      <w:bookmarkEnd w:id="9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80"/>
        <w:gridCol w:w="2948"/>
        <w:gridCol w:w="4520"/>
      </w:tblGrid>
      <w:tr>
        <w:trPr>
          <w:tblHeader/>
          <w:cantSplit/>
        </w:trPr>
        <w:tc>
          <w:tcPr>
            <w:tcW w:type="dxa" w:w="218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Síntoma</w:t>
            </w:r>
          </w:p>
        </w:tc>
        <w:tc>
          <w:tcPr>
            <w:tcW w:type="dxa" w:w="2948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Fuente de diagnóstico</w:t>
            </w:r>
          </w:p>
        </w:tc>
        <w:tc>
          <w:tcPr>
            <w:tcW w:type="dxa" w:w="452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Comprobación siguiente</w:t>
            </w:r>
          </w:p>
        </w:tc>
      </w:tr>
      <w:tr>
        <w:trPr>
          <w:cantSplit/>
        </w:trPr>
        <w:tc>
          <w:tcPr>
            <w:tcW w:type="dxa" w:w="21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Health falla</w:t>
            </w:r>
          </w:p>
        </w:tc>
        <w:tc>
          <w:tcPr>
            <w:tcW w:type="dxa" w:w="2948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Logs API y conexión</w:t>
            </w:r>
          </w:p>
        </w:tc>
        <w:tc>
          <w:tcPr>
            <w:tcW w:type="dxa" w:w="452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Host, usuario, proyecto y variables</w:t>
            </w:r>
          </w:p>
        </w:tc>
      </w:tr>
      <w:tr>
        <w:trPr>
          <w:cantSplit/>
        </w:trPr>
        <w:tc>
          <w:tcPr>
            <w:tcW w:type="dxa" w:w="21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Health usa memoria local</w:t>
            </w:r>
          </w:p>
        </w:tc>
        <w:tc>
          <w:tcPr>
            <w:tcW w:type="dxa" w:w="2948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createRepository</w:t>
            </w:r>
          </w:p>
        </w:tc>
        <w:tc>
          <w:tcPr>
            <w:tcW w:type="dxa" w:w="452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DATABASE_URL y disponibilidad</w:t>
            </w:r>
          </w:p>
        </w:tc>
      </w:tr>
      <w:tr>
        <w:trPr>
          <w:cantSplit/>
        </w:trPr>
        <w:tc>
          <w:tcPr>
            <w:tcW w:type="dxa" w:w="21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Login falla</w:t>
            </w:r>
          </w:p>
        </w:tc>
        <w:tc>
          <w:tcPr>
            <w:tcW w:type="dxa" w:w="2948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Sesión, usuario y repositorio</w:t>
            </w:r>
          </w:p>
        </w:tc>
        <w:tc>
          <w:tcPr>
            <w:tcW w:type="dxa" w:w="452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Cuenta activa y contraseña autorizada</w:t>
            </w:r>
          </w:p>
        </w:tc>
      </w:tr>
      <w:tr>
        <w:trPr>
          <w:cantSplit/>
        </w:trPr>
        <w:tc>
          <w:tcPr>
            <w:tcW w:type="dxa" w:w="21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IA no configurada</w:t>
            </w:r>
          </w:p>
        </w:tc>
        <w:tc>
          <w:tcPr>
            <w:tcW w:type="dxa" w:w="2948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Variables y health</w:t>
            </w:r>
          </w:p>
        </w:tc>
        <w:tc>
          <w:tcPr>
            <w:tcW w:type="dxa" w:w="452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Proveedor y clave backend</w:t>
            </w:r>
          </w:p>
        </w:tc>
      </w:tr>
      <w:tr>
        <w:trPr>
          <w:cantSplit/>
        </w:trPr>
        <w:tc>
          <w:tcPr>
            <w:tcW w:type="dxa" w:w="21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IA configurada pero falla</w:t>
            </w:r>
          </w:p>
        </w:tc>
        <w:tc>
          <w:tcPr>
            <w:tcW w:type="dxa" w:w="2948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Respuesta externa</w:t>
            </w:r>
          </w:p>
        </w:tc>
        <w:tc>
          <w:tcPr>
            <w:tcW w:type="dxa" w:w="452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Modelo, cuota, imagen y timeout</w:t>
            </w:r>
          </w:p>
        </w:tc>
      </w:tr>
      <w:tr>
        <w:trPr>
          <w:cantSplit/>
        </w:trPr>
        <w:tc>
          <w:tcPr>
            <w:tcW w:type="dxa" w:w="218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Cola rechazada</w:t>
            </w:r>
          </w:p>
        </w:tc>
        <w:tc>
          <w:tcPr>
            <w:tcW w:type="dxa" w:w="2948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Código HTTP y mensaje</w:t>
            </w:r>
          </w:p>
        </w:tc>
        <w:tc>
          <w:tcPr>
            <w:tcW w:type="dxa" w:w="452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Datos y permisos sin crear otra venta</w:t>
            </w:r>
          </w:p>
        </w:tc>
      </w:tr>
      <w:tr>
        <w:trPr>
          <w:cantSplit/>
        </w:trPr>
        <w:tc>
          <w:tcPr>
            <w:tcW w:type="dxa" w:w="218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Caja difiere</w:t>
            </w:r>
          </w:p>
        </w:tc>
        <w:tc>
          <w:tcPr>
            <w:tcW w:type="dxa" w:w="2948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Movimientos y pendientes</w:t>
            </w:r>
          </w:p>
        </w:tc>
        <w:tc>
          <w:tcPr>
            <w:tcW w:type="dxa" w:w="452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Contado, pagos, abonos y dispositivos</w:t>
            </w:r>
          </w:p>
        </w:tc>
      </w:tr>
    </w:tbl>
    <w:p>
      <w:pPr>
        <w:spacing w:after="20"/>
      </w:pPr>
    </w:p>
    <w:p>
      <w:pPr>
        <w:pStyle w:val="Heading1"/>
      </w:pPr>
      <w:bookmarkStart w:id="10" w:name="h10"/>
      <w:r>
        <w:t>10 Respaldo y restauración</w:t>
      </w:r>
      <w:bookmarkEnd w:id="10"/>
    </w:p>
    <w:p>
      <w:r>
        <w:t>Un respaldo debe restaurarse en una base separada y comprobar sus relaciones (PostgreSQL Global Development Group, s. f.c). Se registra fecha y ambiente y se protege el archivo. No se aplican semillas sobre datos reales para resolver una conexión. Cambios de esquema se prueban antes de depender de campos nuevos.</w:t>
      </w:r>
    </w:p>
    <w:p>
      <w:pPr>
        <w:pStyle w:val="Heading1"/>
      </w:pPr>
      <w:bookmarkStart w:id="11" w:name="h11"/>
      <w:r>
        <w:t>11 Seguridad y mantenimiento</w:t>
      </w:r>
      <w:bookmarkEnd w:id="11"/>
    </w:p>
    <w:p>
      <w:r>
        <w:t>El backend aplica hash de contraseña, sesiones y roles. El almacenamiento del token en navegador y la validación de TLS necesitan revisión de seguridad específica. Los valores demo no se reutilizan en producción. Un secreto publicado debe rotarse; retirarlo del último documento no elimina el historial.</w:t>
      </w:r>
    </w:p>
    <w:p>
      <w:r>
        <w:t>Las imágenes inline afectan tamaño del catálogo y del respaldo. Monitorear su efecto y planificar almacenamiento de objetos requiere una mejora separada. La salud debe acompañarse de casos operativos; monitorear solo HTTP 200 del frontend puede ocultar una API fallando.</w:t>
      </w:r>
    </w:p>
    <w:p>
      <w:pPr>
        <w:pStyle w:val="Heading1"/>
      </w:pPr>
      <w:bookmarkStart w:id="12" w:name="h12"/>
      <w:r>
        <w:t>12 Registro de incidencias de la fuente</w:t>
      </w:r>
      <w:bookmarkEnd w:id="12"/>
    </w:p>
    <w:p>
      <w:r>
        <w:t>Los siguientes antecedentes proceden de Operacion-Produccion.md. Se mantienen sus fechas y límites; no se interpretan como verificaciones nuevas realizadas por esta revisión.</w:t>
      </w:r>
    </w:p>
    <w:p>
      <w:pPr>
        <w:pStyle w:val="Heading1"/>
      </w:pPr>
      <w:bookmarkStart w:id="13" w:name="h13"/>
      <w:r>
        <w:t>13 Operación de Localito en producción</w:t>
      </w:r>
      <w:bookmarkEnd w:id="13"/>
    </w:p>
    <w:p>
      <w:pPr>
        <w:pStyle w:val="Heading2"/>
      </w:pPr>
      <w:bookmarkStart w:id="14" w:name="h14"/>
      <w:r>
        <w:t>13.1 Bloqueo de devoluciones en funciones serverless</w:t>
      </w:r>
      <w:bookmarkEnd w:id="14"/>
    </w:p>
    <w:p>
      <w:r>
        <w:t xml:space="preserve">En Vercel, el pool PostgreSQL usa </w:t>
      </w:r>
      <w:r>
        <w:rPr>
          <w:rFonts w:ascii="DejaVu Sans Mono" w:hAnsi="DejaVu Sans Mono"/>
          <w:sz w:val="18"/>
        </w:rPr>
        <w:t>max: 1</w:t>
      </w:r>
      <w:r>
        <w:t xml:space="preserve">. Las versiones anteriores de anulación y devolución retenían esa conexión y llamaban a </w:t>
      </w:r>
      <w:r>
        <w:rPr>
          <w:rFonts w:ascii="DejaVu Sans Mono" w:hAnsi="DejaVu Sans Mono"/>
          <w:sz w:val="18"/>
        </w:rPr>
        <w:t>getSales</w:t>
      </w:r>
      <w:r>
        <w:t xml:space="preserve"> mediante </w:t>
      </w:r>
      <w:r>
        <w:rPr>
          <w:rFonts w:ascii="DejaVu Sans Mono" w:hAnsi="DejaVu Sans Mono"/>
          <w:sz w:val="18"/>
        </w:rPr>
        <w:t>pool.query</w:t>
      </w:r>
      <w:r>
        <w:t xml:space="preserve">, que esperaba una segunda conexión hasta agotar el tiempo. La corrección pasa el cliente transaccional a </w:t>
      </w:r>
      <w:r>
        <w:rPr>
          <w:rFonts w:ascii="DejaVu Sans Mono" w:hAnsi="DejaVu Sans Mono"/>
          <w:sz w:val="18"/>
        </w:rPr>
        <w:t>getSales</w:t>
      </w:r>
      <w:r>
        <w:t xml:space="preserve"> y cubre también los reintentos idempotentes de venta. El diálogo de confirmación tiene ahora una superficie opaca en ambos temas y no se cierra mientras procesa. La prueba local simula un pool de una conexión, pero sigue siendo necesario verificar una devolución y una anulación reales con ventas de prueba en producción; registrar antes y después el stock y consultar los movimientos. No repetir una solicitud que quedó en estado ambiguo sin revisar primero el estado de la venta.</w:t>
      </w:r>
    </w:p>
    <w:p>
      <w:pPr>
        <w:pStyle w:val="Heading2"/>
      </w:pPr>
      <w:bookmarkStart w:id="15" w:name="h15"/>
      <w:r>
        <w:t>13.2 Verificación de ventas y visión  26 09 2026</w:t>
      </w:r>
      <w:bookmarkEnd w:id="15"/>
    </w:p>
    <w:p>
      <w:r>
        <w:t xml:space="preserve">El modelo </w:t>
      </w:r>
      <w:r>
        <w:rPr>
          <w:rFonts w:ascii="DejaVu Sans Mono" w:hAnsi="DejaVu Sans Mono"/>
          <w:sz w:val="18"/>
        </w:rPr>
        <w:t>qwen/qwen3.6-27b</w:t>
      </w:r>
      <w:r>
        <w:t xml:space="preserve"> dejó de estar disponible para el nivel gratuito de Groq. El código actualizado usa </w:t>
      </w:r>
      <w:r>
        <w:rPr>
          <w:rFonts w:ascii="DejaVu Sans Mono" w:hAnsi="DejaVu Sans Mono"/>
          <w:sz w:val="18"/>
        </w:rPr>
        <w:t>qwen/qwen3.8-27b</w:t>
      </w:r>
      <w:r>
        <w:t xml:space="preserve"> incluso si Vercel conserva el identificador retirado en </w:t>
      </w:r>
      <w:r>
        <w:rPr>
          <w:rFonts w:ascii="DejaVu Sans Mono" w:hAnsi="DejaVu Sans Mono"/>
          <w:sz w:val="18"/>
        </w:rPr>
        <w:t>GROQ_VISION_MODEL</w:t>
      </w:r>
      <w:r>
        <w:t xml:space="preserve">; actualizar también la variable en Vercel para que refleje el modelo vigente. </w:t>
      </w:r>
      <w:hyperlink r:id="rId13">
        <w:r>
          <w:rPr>
            <w:color w:val="000000"/>
          </w:rPr>
          <w:t xml:space="preserve">Aviso oficial</w:t>
        </w:r>
      </w:hyperlink>
      <w:r>
        <w:t xml:space="preserve">. </w:t>
      </w:r>
      <w:r>
        <w:rPr>
          <w:rFonts w:ascii="DejaVu Sans Mono" w:hAnsi="DejaVu Sans Mono"/>
          <w:sz w:val="18"/>
        </w:rPr>
        <w:t>quickSaleConfigured</w:t>
      </w:r>
      <w:r>
        <w:t xml:space="preserve"> e </w:t>
      </w:r>
      <w:r>
        <w:rPr>
          <w:rFonts w:ascii="DejaVu Sans Mono" w:hAnsi="DejaVu Sans Mono"/>
          <w:sz w:val="18"/>
        </w:rPr>
        <w:t>invoiceAiConfigured</w:t>
      </w:r>
      <w:r>
        <w:t xml:space="preserve"> solo confirman la presencia de claves, no el éxito de una solicitud. Probar fotos sin información sensible y no confirmar ventas/importaciones durante la validación.</w:t>
      </w:r>
    </w:p>
    <w:p>
      <w:r>
        <w:t xml:space="preserve">La anulación y devolución reponen stock solo de unidades efectivamente descontadas al vender. Las nuevas ventas guardan ese dato en </w:t>
      </w:r>
      <w:r>
        <w:rPr>
          <w:rFonts w:ascii="DejaVu Sans Mono" w:hAnsi="DejaVu Sans Mono"/>
          <w:sz w:val="18"/>
        </w:rPr>
        <w:t>detalle_ventas.stock_descontado</w:t>
      </w:r>
      <w:r>
        <w:t xml:space="preserve">; el esquema se amplía al iniciar la API. En ventas históricas sin ese dato se usa </w:t>
      </w:r>
      <w:r>
        <w:rPr>
          <w:rFonts w:ascii="DejaVu Sans Mono" w:hAnsi="DejaVu Sans Mono"/>
          <w:sz w:val="18"/>
        </w:rPr>
        <w:t>controla_stock</w:t>
      </w:r>
      <w:r>
        <w:t xml:space="preserve"> actual, por lo que un cambio de esa opción posterior a la venta exige conciliación manual. Validar en un local de prueba: registrar una venta de un producto con stock controlado, comprobar el descuento, devolver una parte y después anular el resto; verificar stock, estado e historial de movimientos. No repetir una anulación/devolución si la respuesta es ambigua: primero consultar la venta y el inventario. No se ha ejecutado esta prueba contra la base de producción.</w:t>
      </w:r>
    </w:p>
    <w:p>
      <w:pPr>
        <w:pStyle w:val="Heading2"/>
      </w:pPr>
      <w:bookmarkStart w:id="16" w:name="h16"/>
      <w:r>
        <w:t>13.3 Recuperación de API  26 09 2026</w:t>
      </w:r>
      <w:bookmarkEnd w:id="16"/>
    </w:p>
    <w:p>
      <w:r>
        <w:t xml:space="preserve">La web publicada respondía HTTP 200, pero </w:t>
      </w:r>
      <w:r>
        <w:rPr>
          <w:rFonts w:ascii="DejaVu Sans Mono" w:hAnsi="DejaVu Sans Mono"/>
          <w:sz w:val="18"/>
        </w:rPr>
        <w:t>/api/health</w:t>
      </w:r>
      <w:r>
        <w:t xml:space="preserve"> devolvía 500 y el adaptador de login revelaba </w:t>
      </w:r>
      <w:r>
        <w:rPr>
          <w:rFonts w:ascii="DejaVu Sans Mono" w:hAnsi="DejaVu Sans Mono"/>
          <w:sz w:val="18"/>
        </w:rPr>
        <w:t>ENOTFOUND tenant/user ... not found</w:t>
      </w:r>
      <w:r>
        <w:t xml:space="preserve"> del pooler PostgreSQL. Supabase estaba pausado. Después de reanudar el proyecto y corregir la URI </w:t>
      </w:r>
      <w:r>
        <w:rPr>
          <w:rFonts w:ascii="DejaVu Sans Mono" w:hAnsi="DejaVu Sans Mono"/>
          <w:sz w:val="18"/>
        </w:rPr>
        <w:t>DATABASE_URL</w:t>
      </w:r>
      <w:r>
        <w:t xml:space="preserve"> en Vercel, </w:t>
      </w:r>
      <w:r>
        <w:rPr>
          <w:rFonts w:ascii="DejaVu Sans Mono" w:hAnsi="DejaVu Sans Mono"/>
          <w:sz w:val="18"/>
        </w:rPr>
        <w:t>/api/health</w:t>
      </w:r>
      <w:r>
        <w:t xml:space="preserve"> respondió 200 con </w:t>
      </w:r>
      <w:r>
        <w:rPr>
          <w:rFonts w:ascii="DejaVu Sans Mono" w:hAnsi="DejaVu Sans Mono"/>
          <w:sz w:val="18"/>
        </w:rPr>
        <w:t>storage: "postgres"</w:t>
      </w:r>
      <w:r>
        <w:t xml:space="preserve">, </w:t>
      </w:r>
      <w:r>
        <w:rPr>
          <w:rFonts w:ascii="DejaVu Sans Mono" w:hAnsi="DejaVu Sans Mono"/>
          <w:sz w:val="18"/>
        </w:rPr>
        <w:t>persistentStorage: true</w:t>
      </w:r>
      <w:r>
        <w:t xml:space="preserve">, </w:t>
      </w:r>
      <w:r>
        <w:rPr>
          <w:rFonts w:ascii="DejaVu Sans Mono" w:hAnsi="DejaVu Sans Mono"/>
          <w:sz w:val="18"/>
        </w:rPr>
        <w:t>quickSaleConfigured: true</w:t>
      </w:r>
      <w:r>
        <w:t xml:space="preserve"> e </w:t>
      </w:r>
      <w:r>
        <w:rPr>
          <w:rFonts w:ascii="DejaVu Sans Mono" w:hAnsi="DejaVu Sans Mono"/>
          <w:sz w:val="18"/>
        </w:rPr>
        <w:t>invoiceAiConfigured: true</w:t>
      </w:r>
      <w:r>
        <w:t xml:space="preserve"> el 26-09-2026 a las 13:50 UTC. La conexión de la API está recuperada; login, catálogo y uso real de IA no están verificados. Según </w:t>
      </w:r>
      <w:hyperlink r:id="rId14">
        <w:r>
          <w:rPr>
            <w:color w:val="000000"/>
          </w:rPr>
          <w:t xml:space="preserve">la guía de Supabase sobre este error</w:t>
        </w:r>
      </w:hyperlink>
      <w:r>
        <w:t>, el pooler no puede asociar el host y usuario de la conexión a un proyecto; no significa por sí solo que el DNS del host no resuelva o que la contraseña sea incorrecta. El backend conserva el requisito de PostgreSQL persistente y no debe pasar a memoria en producción.</w:t>
      </w:r>
    </w:p>
    <w:p>
      <w:pPr>
        <w:pStyle w:val="ListBullet"/>
        <w:spacing w:after="80"/>
      </w:pPr>
      <w:r>
        <w:t xml:space="preserve">En el proyecto de Supabase que contiene los </w:t>
      </w:r>
      <w:r>
        <w:rPr>
          <w:b/>
        </w:rPr>
        <w:t>datos actuales</w:t>
      </w:r>
      <w:r>
        <w:t xml:space="preserve">, abrir </w:t>
      </w:r>
      <w:r>
        <w:rPr>
          <w:b/>
        </w:rPr>
        <w:t>Connect</w:t>
      </w:r>
      <w:r>
        <w:t xml:space="preserve"> y copiar la URI completa de </w:t>
      </w:r>
      <w:r>
        <w:rPr>
          <w:b/>
        </w:rPr>
        <w:t>Transaction pooler</w:t>
      </w:r>
      <w:r>
        <w:t xml:space="preserve">. El proyecto se reanudó y figura saludable. No crear una base nueva ni aplicar semillas sobre datos reales para resolver este error del pooler. </w:t>
      </w:r>
      <w:hyperlink r:id="rId15">
        <w:r>
          <w:rPr>
            <w:color w:val="000000"/>
          </w:rPr>
          <w:t xml:space="preserve">Guía oficial de conexión</w:t>
        </w:r>
      </w:hyperlink>
      <w:r>
        <w:t>.</w:t>
      </w:r>
    </w:p>
    <w:p>
      <w:pPr>
        <w:pStyle w:val="ListBullet"/>
        <w:spacing w:after="80"/>
      </w:pPr>
      <w:r>
        <w:t xml:space="preserve">En Vercel, revisar las variables de entorno de </w:t>
      </w:r>
      <w:r>
        <w:rPr>
          <w:b/>
        </w:rPr>
        <w:t>Production</w:t>
      </w:r>
      <w:r>
        <w:t xml:space="preserve">. El código prioriza </w:t>
      </w:r>
      <w:r>
        <w:rPr>
          <w:rFonts w:ascii="DejaVu Sans Mono" w:hAnsi="DejaVu Sans Mono"/>
          <w:sz w:val="18"/>
        </w:rPr>
        <w:t>DATABASE_URL</w:t>
      </w:r>
      <w:r>
        <w:t xml:space="preserve">, después </w:t>
      </w:r>
      <w:r>
        <w:rPr>
          <w:rFonts w:ascii="DejaVu Sans Mono" w:hAnsi="DejaVu Sans Mono"/>
          <w:sz w:val="18"/>
        </w:rPr>
        <w:t>POSTGRES_URL</w:t>
      </w:r>
      <w:r>
        <w:t xml:space="preserve"> y finalmente </w:t>
      </w:r>
      <w:r>
        <w:rPr>
          <w:rFonts w:ascii="DejaVu Sans Mono" w:hAnsi="DejaVu Sans Mono"/>
          <w:sz w:val="18"/>
        </w:rPr>
        <w:t>SUPABASE_DB_URL</w:t>
      </w:r>
      <w:r>
        <w:t xml:space="preserve">; si </w:t>
      </w:r>
      <w:r>
        <w:rPr>
          <w:rFonts w:ascii="DejaVu Sans Mono" w:hAnsi="DejaVu Sans Mono"/>
          <w:sz w:val="18"/>
        </w:rPr>
        <w:t>DATABASE_URL</w:t>
      </w:r>
      <w:r>
        <w:t xml:space="preserve"> sigue presente con un host antiguo, prevalecerá aunque las otras sean correctas. Actualizar o retirar la entrada obsoleta. Copiar el host completo y el usuario directamente de Supabase; codificar los caracteres reservados de la contraseña en la URI. No publicar la URI ni capturarla en pantalla.</w:t>
      </w:r>
    </w:p>
    <w:p>
      <w:pPr>
        <w:pStyle w:val="ListBullet"/>
        <w:spacing w:after="80"/>
      </w:pPr>
      <w:r>
        <w:t xml:space="preserve">Crear un nuevo despliegue de producción para que use las variables corregidas. Comprobar que </w:t>
      </w:r>
      <w:r>
        <w:rPr>
          <w:rFonts w:ascii="DejaVu Sans Mono" w:hAnsi="DejaVu Sans Mono"/>
          <w:sz w:val="18"/>
        </w:rPr>
        <w:t>GET https://localito-saas.vercel.app/api/health</w:t>
      </w:r>
      <w:r>
        <w:t xml:space="preserve"> devuelve 200, </w:t>
      </w:r>
      <w:r>
        <w:rPr>
          <w:rFonts w:ascii="DejaVu Sans Mono" w:hAnsi="DejaVu Sans Mono"/>
          <w:sz w:val="18"/>
        </w:rPr>
        <w:t>storage: "postgres"</w:t>
      </w:r>
      <w:r>
        <w:t xml:space="preserve"> y </w:t>
      </w:r>
      <w:r>
        <w:rPr>
          <w:rFonts w:ascii="DejaVu Sans Mono" w:hAnsi="DejaVu Sans Mono"/>
          <w:sz w:val="18"/>
        </w:rPr>
        <w:t>persistentStorage: true</w:t>
      </w:r>
      <w:r>
        <w:t>. Si continúa 503, revisar el registro de esa función en Vercel y la disponibilidad del proyecto Supabase.</w:t>
      </w:r>
    </w:p>
    <w:p>
      <w:pPr>
        <w:pStyle w:val="ListBullet"/>
        <w:spacing w:after="80"/>
      </w:pPr>
      <w:r>
        <w:t xml:space="preserve">Con una cuenta de prueba autorizada, comprobar inicio de sesión y carga del catálogo. Después probar venta con foto y lectura de una factura </w:t>
      </w:r>
      <w:r>
        <w:rPr>
          <w:b/>
        </w:rPr>
        <w:t>sin confirmar importación</w:t>
      </w:r>
      <w:r>
        <w:t xml:space="preserve">. </w:t>
      </w:r>
      <w:r>
        <w:rPr>
          <w:rFonts w:ascii="DejaVu Sans Mono" w:hAnsi="DejaVu Sans Mono"/>
          <w:sz w:val="18"/>
        </w:rPr>
        <w:t>quickSaleConfigured</w:t>
      </w:r>
      <w:r>
        <w:t xml:space="preserve"> e </w:t>
      </w:r>
      <w:r>
        <w:rPr>
          <w:rFonts w:ascii="DejaVu Sans Mono" w:hAnsi="DejaVu Sans Mono"/>
          <w:sz w:val="18"/>
        </w:rPr>
        <w:t>invoiceAiConfigured</w:t>
      </w:r>
      <w:r>
        <w:t xml:space="preserve"> en salud distinguen ausencia de claves de IA, pero no garantizan que el proveedor acepte la solicitud; usar una imagen de prueba sin datos sensibles para la verificación.</w:t>
      </w:r>
    </w:p>
    <w:p>
      <w:pPr>
        <w:pStyle w:val="ListBullet"/>
        <w:spacing w:after="80"/>
      </w:pPr>
      <w:r>
        <w:t>Revisar ventas pendientes antes de registrar nuevas operaciones. No repetir un cobro externo por un error de sincronización sin comprobar antes la venta y la caja.</w:t>
      </w:r>
    </w:p>
    <w:p>
      <w:r>
        <w:t>El adaptador de login del código anterior devolvía al navegador el detalle de la excepción. La corrección preparada devuelve 503 y un mensaje genérico cuando falla la base, mientras conserva el diagnóstico en registros del servidor. Publicar ese cambio después de verificar tipos, pruebas y compilación; su publicación no sustituye el paso 2.</w:t>
      </w:r>
    </w:p>
    <w:p>
      <w:r>
        <w:t xml:space="preserve">Incremento visual del 09-09-2026 sin migración de base de datos. Tipos/build y 61 pruebas locales aprobados. Antes de desplegar, completar la regresión visual pendiente y revisar el resultado de CI; no se verificó un nuevo despliegue de producción en esta continuación. </w:t>
      </w:r>
      <w:hyperlink r:id="rId16">
        <w:r>
          <w:rPr>
            <w:color w:val="000000"/>
          </w:rPr>
          <w:t xml:space="preserve">Diseño y verificación</w:t>
        </w:r>
      </w:hyperlink>
      <w:r>
        <w:t>.</w:t>
      </w:r>
    </w:p>
    <w:p>
      <w:r>
        <w:t xml:space="preserve">Actualización: </w:t>
      </w:r>
      <w:r>
        <w:rPr>
          <w:b/>
        </w:rPr>
        <w:t>08-09-2026</w:t>
      </w:r>
      <w:r>
        <w:t xml:space="preserve">. Las mejoras recientes se verificaron localmente con memoria, no contra producción. Antes de desplegar, completar las comprobaciones de persistencia siguientes. Consulte </w:t>
      </w:r>
      <w:hyperlink r:id="rId17">
        <w:r>
          <w:rPr>
            <w:color w:val="000000"/>
          </w:rPr>
          <w:t xml:space="preserve">Estado actual</w:t>
        </w:r>
      </w:hyperlink>
      <w:r>
        <w:t xml:space="preserve"> para contratos y límites.</w:t>
      </w:r>
    </w:p>
    <w:p>
      <w:pPr>
        <w:pStyle w:val="Heading2"/>
      </w:pPr>
      <w:bookmarkStart w:id="17" w:name="h17"/>
      <w:r>
        <w:t>13.4 Verificación diaria</w:t>
      </w:r>
      <w:bookmarkEnd w:id="17"/>
    </w:p>
    <w:p>
      <w:pPr>
        <w:pStyle w:val="ListBullet"/>
        <w:spacing w:after="80"/>
      </w:pPr>
      <w:r>
        <w:t xml:space="preserve">Consultar </w:t>
      </w:r>
      <w:r>
        <w:rPr>
          <w:rFonts w:ascii="DejaVu Sans Mono" w:hAnsi="DejaVu Sans Mono"/>
          <w:sz w:val="18"/>
        </w:rPr>
        <w:t>GET /api/health</w:t>
      </w:r>
      <w:r>
        <w:t xml:space="preserve">: debe responder </w:t>
      </w:r>
      <w:r>
        <w:rPr>
          <w:rFonts w:ascii="DejaVu Sans Mono" w:hAnsi="DejaVu Sans Mono"/>
          <w:sz w:val="18"/>
        </w:rPr>
        <w:t>status: ok</w:t>
      </w:r>
      <w:r>
        <w:t xml:space="preserve">, </w:t>
      </w:r>
      <w:r>
        <w:rPr>
          <w:rFonts w:ascii="DejaVu Sans Mono" w:hAnsi="DejaVu Sans Mono"/>
          <w:sz w:val="18"/>
        </w:rPr>
        <w:t>persistentStorage: true</w:t>
      </w:r>
      <w:r>
        <w:t xml:space="preserve"> y </w:t>
      </w:r>
      <w:r>
        <w:rPr>
          <w:rFonts w:ascii="DejaVu Sans Mono" w:hAnsi="DejaVu Sans Mono"/>
          <w:sz w:val="18"/>
        </w:rPr>
        <w:t>storage: postgres</w:t>
      </w:r>
      <w:r>
        <w:t>.</w:t>
      </w:r>
    </w:p>
    <w:p>
      <w:pPr>
        <w:pStyle w:val="ListBullet"/>
        <w:spacing w:after="80"/>
      </w:pPr>
      <w:r>
        <w:rPr>
          <w:rFonts w:ascii="DejaVu Sans Mono" w:hAnsi="DejaVu Sans Mono"/>
          <w:sz w:val="18"/>
        </w:rPr>
        <w:t>quickSaleConfigured</w:t>
      </w:r>
      <w:r>
        <w:t xml:space="preserve">, </w:t>
      </w:r>
      <w:r>
        <w:rPr>
          <w:rFonts w:ascii="DejaVu Sans Mono" w:hAnsi="DejaVu Sans Mono"/>
          <w:sz w:val="18"/>
        </w:rPr>
        <w:t>invoiceAiConfigured</w:t>
      </w:r>
      <w:r>
        <w:t xml:space="preserve"> y </w:t>
      </w:r>
      <w:r>
        <w:rPr>
          <w:rFonts w:ascii="DejaVu Sans Mono" w:hAnsi="DejaVu Sans Mono"/>
          <w:sz w:val="18"/>
        </w:rPr>
        <w:t>passwordResetEmailConfigured</w:t>
      </w:r>
      <w:r>
        <w:t xml:space="preserve"> indican si los servicios opcionales están disponibles, sin revelar credenciales.</w:t>
      </w:r>
    </w:p>
    <w:p>
      <w:pPr>
        <w:pStyle w:val="ListBullet"/>
        <w:spacing w:after="80"/>
      </w:pPr>
      <w:r>
        <w:t>Realizar comprobaciones de escritura únicamente en un negocio reservado para pruebas; no alterar ventas, inventario o caja de negocios reales para verificar el sistema.</w:t>
      </w:r>
    </w:p>
    <w:p>
      <w:pPr>
        <w:pStyle w:val="Heading2"/>
      </w:pPr>
      <w:bookmarkStart w:id="18" w:name="h18"/>
      <w:r>
        <w:t>13.5 Respaldos</w:t>
      </w:r>
      <w:bookmarkEnd w:id="18"/>
    </w:p>
    <w:p>
      <w:pPr>
        <w:pStyle w:val="ListBullet"/>
        <w:spacing w:after="80"/>
      </w:pPr>
      <w:r>
        <w:t>La base PostgreSQL/Supabase es la fuente de verdad. Habilitar respaldos del proveedor antes de incorporar negocios reales.</w:t>
      </w:r>
    </w:p>
    <w:p>
      <w:pPr>
        <w:pStyle w:val="ListBullet"/>
        <w:spacing w:after="80"/>
      </w:pPr>
      <w:r>
        <w:t xml:space="preserve">Exportar productos desde </w:t>
      </w:r>
      <w:r>
        <w:rPr>
          <w:b/>
        </w:rPr>
        <w:t>Caja → Datos y trazabilidad</w:t>
      </w:r>
      <w:r>
        <w:t xml:space="preserve"> con un dueño autorizado. Ese CSV no respalda ventas, usuarios ni toda la base.</w:t>
      </w:r>
    </w:p>
    <w:p>
      <w:pPr>
        <w:pStyle w:val="ListBullet"/>
        <w:spacing w:after="80"/>
      </w:pPr>
      <w:r>
        <w:t>Probar una restauración en un proyecto de prueba; un respaldo no verificado no debe considerarse recuperable.</w:t>
      </w:r>
    </w:p>
    <w:p>
      <w:pPr>
        <w:pStyle w:val="ListBullet"/>
        <w:spacing w:after="80"/>
      </w:pPr>
      <w:r>
        <w:t>Nunca copiar claves de producción, tokens o contraseñas dentro de archivos de respaldo compartidos.</w:t>
      </w:r>
    </w:p>
    <w:p>
      <w:pPr>
        <w:pStyle w:val="Heading2"/>
      </w:pPr>
      <w:bookmarkStart w:id="19" w:name="h19"/>
      <w:r>
        <w:t>13.6 Incidentes</w:t>
      </w:r>
      <w:bookmarkEnd w:id="19"/>
    </w:p>
    <w:p>
      <w:pPr>
        <w:pStyle w:val="ListBullet"/>
        <w:spacing w:after="80"/>
      </w:pPr>
      <w:r>
        <w:t xml:space="preserve">Si </w:t>
      </w:r>
      <w:r>
        <w:rPr>
          <w:rFonts w:ascii="DejaVu Sans Mono" w:hAnsi="DejaVu Sans Mono"/>
          <w:sz w:val="18"/>
        </w:rPr>
        <w:t>/api/health</w:t>
      </w:r>
      <w:r>
        <w:t xml:space="preserve"> falla, revisar el último despliegue de Vercel y la conexión PostgreSQL.</w:t>
      </w:r>
    </w:p>
    <w:p>
      <w:pPr>
        <w:pStyle w:val="ListBullet"/>
        <w:spacing w:after="80"/>
      </w:pPr>
      <w:r>
        <w:t xml:space="preserve">Si </w:t>
      </w:r>
      <w:r>
        <w:rPr>
          <w:rFonts w:ascii="DejaVu Sans Mono" w:hAnsi="DejaVu Sans Mono"/>
          <w:sz w:val="18"/>
        </w:rPr>
        <w:t>persistentStorage</w:t>
      </w:r>
      <w:r>
        <w:t xml:space="preserve"> es falso en producción, detener las pruebas con datos reales y corregir </w:t>
      </w:r>
      <w:r>
        <w:rPr>
          <w:rFonts w:ascii="DejaVu Sans Mono" w:hAnsi="DejaVu Sans Mono"/>
          <w:sz w:val="18"/>
        </w:rPr>
        <w:t>DATABASE_URL</w:t>
      </w:r>
      <w:r>
        <w:t>.</w:t>
      </w:r>
    </w:p>
    <w:p>
      <w:pPr>
        <w:pStyle w:val="ListBullet"/>
        <w:spacing w:after="80"/>
      </w:pPr>
      <w:r>
        <w:t>Si Venta Rápida devuelve 429, respetar el tiempo indicado; búsqueda, código de barras y POS manual siguen disponibles.</w:t>
      </w:r>
    </w:p>
    <w:p>
      <w:pPr>
        <w:pStyle w:val="ListBullet"/>
        <w:spacing w:after="80"/>
      </w:pPr>
      <w:r>
        <w:t>Si una operación queda dudosa, revisar ventas, kardex y auditoría antes de repetirla para evitar duplicados.</w:t>
      </w:r>
    </w:p>
    <w:p>
      <w:pPr>
        <w:pStyle w:val="Heading2"/>
      </w:pPr>
      <w:bookmarkStart w:id="20" w:name="h20"/>
      <w:r>
        <w:t>13.7 Costos a vigilar</w:t>
      </w:r>
      <w:bookmarkEnd w:id="20"/>
    </w:p>
    <w:p>
      <w:pPr>
        <w:pStyle w:val="ListBullet"/>
        <w:spacing w:after="80"/>
      </w:pPr>
      <w:r>
        <w:t>Vercel: ejecución y ancho de banda.</w:t>
      </w:r>
    </w:p>
    <w:p>
      <w:pPr>
        <w:pStyle w:val="ListBullet"/>
        <w:spacing w:after="80"/>
      </w:pPr>
      <w:r>
        <w:t>Supabase/PostgreSQL: almacenamiento, conexiones y respaldos.</w:t>
      </w:r>
    </w:p>
    <w:p>
      <w:pPr>
        <w:pStyle w:val="ListBullet"/>
        <w:spacing w:after="80"/>
      </w:pPr>
      <w:r>
        <w:t>Groq u otro proveedor visual: cuota y solicitudes.</w:t>
      </w:r>
    </w:p>
    <w:p>
      <w:pPr>
        <w:pStyle w:val="ListBullet"/>
        <w:spacing w:after="80"/>
      </w:pPr>
      <w:r>
        <w:t>Dominio, correo transaccional y soporte.</w:t>
      </w:r>
    </w:p>
    <w:p>
      <w:pPr>
        <w:pStyle w:val="ListBullet"/>
        <w:spacing w:after="80"/>
      </w:pPr>
      <w:r>
        <w:t>Los terminales y pasarelas externas no forman parte del costo base de la tesis: Localito registra el pago manualmente y sus pantallas Webpay/Mercado Pago son simulaciones académicas.</w:t>
      </w:r>
    </w:p>
    <w:p>
      <w:pPr>
        <w:pStyle w:val="Heading2"/>
      </w:pPr>
      <w:bookmarkStart w:id="21" w:name="h21"/>
      <w:r>
        <w:t>13.8 Reglas de seguridad</w:t>
      </w:r>
      <w:bookmarkEnd w:id="21"/>
    </w:p>
    <w:p>
      <w:pPr>
        <w:pStyle w:val="ListBullet"/>
        <w:spacing w:after="80"/>
      </w:pPr>
      <w:r>
        <w:t>Mantener claves únicamente como variables de entorno del backend.</w:t>
      </w:r>
    </w:p>
    <w:p>
      <w:pPr>
        <w:pStyle w:val="ListBullet"/>
        <w:spacing w:after="80"/>
      </w:pPr>
      <w:r>
        <w:t>Rotar una credencial si aparece en un log, captura o repositorio.</w:t>
      </w:r>
    </w:p>
    <w:p>
      <w:pPr>
        <w:pStyle w:val="ListBullet"/>
        <w:spacing w:after="80"/>
      </w:pPr>
      <w:r>
        <w:t>Conservar separación por negocio y rol; el vendedor no recibe métricas financieras históricas del dueño.</w:t>
      </w:r>
    </w:p>
    <w:p>
      <w:pPr>
        <w:pStyle w:val="ListBullet"/>
        <w:spacing w:after="80"/>
      </w:pPr>
      <w:r>
        <w:t>Aplicar primero cambios de esquema compatibles (</w:t>
      </w:r>
      <w:r>
        <w:rPr>
          <w:rFonts w:ascii="DejaVu Sans Mono" w:hAnsi="DejaVu Sans Mono"/>
          <w:sz w:val="18"/>
        </w:rPr>
        <w:t>ADD COLUMN IF NOT EXISTS</w:t>
      </w:r>
      <w:r>
        <w:t>) antes de depender de nuevos campos.</w:t>
      </w:r>
    </w:p>
    <w:p>
      <w:pPr>
        <w:pStyle w:val="Heading2"/>
      </w:pPr>
      <w:bookmarkStart w:id="22" w:name="h22"/>
      <w:r>
        <w:t>13.9 Despliegue de esta versión</w:t>
      </w:r>
      <w:bookmarkEnd w:id="22"/>
    </w:p>
    <w:p>
      <w:pPr>
        <w:pStyle w:val="ListBullet"/>
        <w:spacing w:after="80"/>
      </w:pPr>
      <w:r>
        <w:t xml:space="preserve">Ejecutar </w:t>
      </w:r>
      <w:r>
        <w:rPr>
          <w:rFonts w:ascii="DejaVu Sans Mono" w:hAnsi="DejaVu Sans Mono"/>
          <w:sz w:val="18"/>
        </w:rPr>
        <w:t>npm ci</w:t>
      </w:r>
      <w:r>
        <w:t xml:space="preserve"> y </w:t>
      </w:r>
      <w:r>
        <w:rPr>
          <w:rFonts w:ascii="DejaVu Sans Mono" w:hAnsi="DejaVu Sans Mono"/>
          <w:sz w:val="18"/>
        </w:rPr>
        <w:t>npm run check</w:t>
      </w:r>
      <w:r>
        <w:t xml:space="preserve"> en un entorno limpio. Revisar la ejecución de GitHub Actions, no solo la presencia del workflow.</w:t>
      </w:r>
    </w:p>
    <w:p>
      <w:pPr>
        <w:pStyle w:val="ListBullet"/>
        <w:spacing w:after="80"/>
      </w:pPr>
      <w:r>
        <w:t>Respaldar PostgreSQL y probar restauración en una base separada.</w:t>
      </w:r>
    </w:p>
    <w:p>
      <w:pPr>
        <w:pStyle w:val="ListBullet"/>
        <w:spacing w:after="80"/>
      </w:pPr>
      <w:r>
        <w:t xml:space="preserve">Aplicar </w:t>
      </w:r>
      <w:r>
        <w:rPr>
          <w:rFonts w:ascii="DejaVu Sans Mono" w:hAnsi="DejaVu Sans Mono"/>
          <w:sz w:val="18"/>
        </w:rPr>
        <w:t>db/schema.sql</w:t>
      </w:r>
      <w:r>
        <w:t xml:space="preserve"> en esa base: </w:t>
      </w:r>
      <w:r>
        <w:rPr>
          <w:rFonts w:ascii="DejaVu Sans Mono" w:hAnsi="DejaVu Sans Mono"/>
          <w:sz w:val="18"/>
        </w:rPr>
        <w:t>negocios.preferencias</w:t>
      </w:r>
      <w:r>
        <w:t xml:space="preserve"> JSONB debe existir y conservar datos previos; fotos usan el campo TEXT </w:t>
      </w:r>
      <w:r>
        <w:rPr>
          <w:rFonts w:ascii="DejaVu Sans Mono" w:hAnsi="DejaVu Sans Mono"/>
          <w:sz w:val="18"/>
        </w:rPr>
        <w:t>productos.imagen_url</w:t>
      </w:r>
      <w:r>
        <w:t xml:space="preserve"> existente.</w:t>
      </w:r>
    </w:p>
    <w:p>
      <w:pPr>
        <w:pStyle w:val="ListBullet"/>
        <w:spacing w:after="80"/>
      </w:pPr>
      <w:r>
        <w:t>Verificar configuración, foto/reemplazo/eliminación, consultas de historial con más de 100 eventos y filtros, y turnos con abonos que crucen medianoche.</w:t>
      </w:r>
    </w:p>
    <w:p>
      <w:pPr>
        <w:pStyle w:val="ListBullet"/>
        <w:spacing w:after="80"/>
      </w:pPr>
      <w:r>
        <w:t>Verificar dos peticiones concurrentes con la misma clave de venta, stock/deuda resultantes y accesos cruzados. La prueba local de memoria no acredita la concurrencia de PostgreSQL.</w:t>
      </w:r>
    </w:p>
    <w:p>
      <w:pPr>
        <w:pStyle w:val="ListBullet"/>
        <w:spacing w:after="80"/>
      </w:pPr>
      <w:r>
        <w:t>Confirmar salud y persistencia después de reiniciar el entorno de pruebas. Solo después publicar y realizar smoke tests aislados.</w:t>
      </w:r>
    </w:p>
    <w:p>
      <w:pPr>
        <w:pStyle w:val="Heading2"/>
      </w:pPr>
      <w:bookmarkStart w:id="23" w:name="h23"/>
      <w:r>
        <w:t>13.10 Ventas pendientes y dispositivos</w:t>
      </w:r>
      <w:bookmarkEnd w:id="23"/>
    </w:p>
    <w:p>
      <w:pPr>
        <w:pStyle w:val="ListBullet"/>
        <w:spacing w:after="80"/>
      </w:pPr>
      <w:r>
        <w:t>La cola contiene únicamente ventas y pertenece a una cuenta en un origen concreto. No limpiar almacenamiento, cambiar de puerto/dominio ni reinstalar el navegador para resolver un rechazo.</w:t>
      </w:r>
    </w:p>
    <w:p>
      <w:pPr>
        <w:pStyle w:val="ListBullet"/>
        <w:spacing w:after="80"/>
      </w:pPr>
      <w:r>
        <w:t>Descargar el JSON desde Sincronización antes de intervenir. No incluye token, pero puede contener identificadores y notas operativas: tratarlo como información privada y no subirlo a GitHub.</w:t>
      </w:r>
    </w:p>
    <w:p>
      <w:pPr>
        <w:pStyle w:val="ListBullet"/>
        <w:spacing w:after="80"/>
      </w:pPr>
      <w:r>
        <w:t>Rechazos 400/404/409/413/422: revisar la causa, corregir catálogo/stock cuando corresponda y reintentar la venta original. Las demás ventas válidas pueden continuar.</w:t>
      </w:r>
    </w:p>
    <w:p>
      <w:pPr>
        <w:pStyle w:val="ListBullet"/>
        <w:spacing w:after="80"/>
      </w:pPr>
      <w:r>
        <w:t>Errores de red, 401/403, 429 o 5xx: el ciclo se detiene; restablecer conexión, sesión o permisos, respetar límites y reintentar. No repetir un pago en la terminal externa.</w:t>
      </w:r>
    </w:p>
    <w:p>
      <w:pPr>
        <w:pStyle w:val="ListBullet"/>
        <w:spacing w:after="80"/>
      </w:pPr>
      <w:r>
        <w:t>Colas antiguas sin propietario o corruptas se conservan para revisión. No hay importador ni reparación automática.</w:t>
      </w:r>
    </w:p>
    <w:p>
      <w:pPr>
        <w:pStyle w:val="ListBullet"/>
        <w:spacing w:after="80"/>
      </w:pPr>
      <w:r>
        <w:t>Antes del cierre, verificar pendientes en todas las cuentas y dispositivos del turno. La interfaz solo bloquea por pendientes de la cuenta/origen actuales.</w:t>
      </w:r>
    </w:p>
    <w:p>
      <w:pPr>
        <w:pStyle w:val="ListBullet"/>
        <w:spacing w:after="80"/>
      </w:pPr>
      <w:r>
        <w:t>El servidor usa los precios vigentes al sincronizar. Resolver cualquier diferencia respecto del cobro externo antes de dar por conciliado el turno.</w:t>
      </w:r>
    </w:p>
    <w:p>
      <w:pPr>
        <w:pStyle w:val="Heading2"/>
      </w:pPr>
      <w:bookmarkStart w:id="24" w:name="h24"/>
      <w:r>
        <w:t>13.11 Credenciales e imágenes</w:t>
      </w:r>
      <w:bookmarkEnd w:id="24"/>
    </w:p>
    <w:p>
      <w:pPr>
        <w:pStyle w:val="ListBullet"/>
        <w:spacing w:after="80"/>
      </w:pPr>
      <w:r>
        <w:t>Se retiró del Markdown una contraseña administrativa previamente publicada. Rotarla por el flujo autorizado de recuperación/administración y revisar sesiones; retirar texto no elimina la exposición del historial Git.</w:t>
      </w:r>
    </w:p>
    <w:p>
      <w:pPr>
        <w:pStyle w:val="ListBullet"/>
        <w:spacing w:after="80"/>
      </w:pPr>
      <w:r>
        <w:t xml:space="preserve">Las claves demo nunca se usan en producción. No restaurar contraseñas reales en </w:t>
      </w:r>
      <w:r>
        <w:rPr>
          <w:rFonts w:ascii="DejaVu Sans Mono" w:hAnsi="DejaVu Sans Mono"/>
          <w:sz w:val="18"/>
        </w:rPr>
        <w:t>usuarios.md</w:t>
      </w:r>
      <w:r>
        <w:t xml:space="preserve"> ni en capturas.</w:t>
      </w:r>
    </w:p>
    <w:p>
      <w:pPr>
        <w:pStyle w:val="ListBullet"/>
        <w:spacing w:after="80"/>
      </w:pPr>
      <w:r>
        <w:t>Las fotos inline aumentan el tamaño del catálogo y los respaldos. Vigilar tamaño/latencia y planificar almacenamiento de objetos al crecer; no existe eliminación automática del fondo.</w:t>
      </w:r>
    </w:p>
    <w:p>
      <w:r>
        <w:t>Quedan pendientes la prueba integral PostgreSQL, restauración, cierre concurrente de varios puestos, dispositivos físicos y validación con usuarios. Esta guía no declara un despliegue productivo aprobado.</w:t>
      </w:r>
    </w:p>
    <w:p>
      <w:pPr>
        <w:pStyle w:val="Heading1"/>
      </w:pPr>
      <w:bookmarkStart w:id="25" w:name="h25"/>
      <w:r>
        <w:t>14 Evidencias relacionadas con esta versión</w:t>
      </w:r>
      <w:bookmarkEnd w:id="25"/>
    </w:p>
    <w:p>
      <w:r>
        <w:t>El Informe Académico conecta objetivos, método, antecedentes y resultados. La Matriz de Trazabilidad identifica requisitos e historias asociados a la implementación. El Informe de Verificación conserva las ejecuciones del 04 de octubre de 2026 y distingue su alcance local de la aceptación en PostgreSQL y con usuarios. Control de Entrega reúne la cobertura de los 17 artefactos y los pendientes de cierre.</w:t>
      </w:r>
    </w:p>
    <w:p>
      <w:pPr>
        <w:pStyle w:val="Heading1"/>
      </w:pPr>
      <w:bookmarkStart w:id="26" w:name="h26"/>
      <w:r>
        <w:t>15 Conclusiones</w:t>
      </w:r>
      <w:bookmarkEnd w:id="26"/>
    </w:p>
    <w:p>
      <w:r>
        <w:t>El manual permite instalar, reconocer el ambiente y resolver incidentes preservando datos. La operación responsable se basa en confirmar persistencia, conservar pendientes y distinguir configuración de resultado. Su aplicación debe registrar evidencia del ambiente donde se ejecuta.</w:t>
      </w:r>
    </w:p>
    <w:p>
      <w:pPr>
        <w:pStyle w:val="Heading1"/>
      </w:pPr>
      <w:bookmarkStart w:id="27" w:name="h27"/>
      <w:r>
        <w:t>16 Referencias</w:t>
      </w:r>
      <w:bookmarkEnd w:id="27"/>
    </w:p>
    <w:p>
      <w:r>
        <w:t>La evidencia del proyecto corresponde a la revisión versionada del repositorio (Equipo Localito, 2026). Las normas se consultaron mediante sus resúmenes públicos; no se declara certificación. Las fuentes web fueron consultadas durante esta revisión, del 03 al 04 de octubre de 2026.</w:t>
      </w:r>
    </w:p>
    <w:p>
      <w:pPr>
        <w:keepLines/>
        <w:ind w:left="432" w:hanging="432"/>
      </w:pPr>
      <w:r>
        <w:t xml:space="preserve">Equipo Localito (2026). </w:t>
      </w:r>
      <w:r>
        <w:rPr>
          <w:i/>
        </w:rPr>
        <w:t>LocalitoSaaS [Código y documentación, commit ddb9956cf35cfb2035f62528299fd6bb2c9b7d5c]</w:t>
      </w:r>
      <w:r>
        <w:t xml:space="preserve">. </w:t>
      </w:r>
      <w:hyperlink r:id="rId18">
        <w:r>
          <w:rPr>
            <w:color w:val="000000"/>
          </w:rPr>
          <w:t xml:space="preserve">https://github.com/CamiloGonzalezSt/LocalitoSaaS/tree/ddb9956cf35cfb2035f62528299fd6bb2c9b7d5c</w:t>
        </w:r>
      </w:hyperlink>
    </w:p>
    <w:p>
      <w:pPr>
        <w:keepLines/>
        <w:ind w:left="432" w:hanging="432"/>
      </w:pPr>
      <w:r>
        <w:t xml:space="preserve">PostgreSQL Global Development Group (s. f.c). </w:t>
      </w:r>
      <w:r>
        <w:rPr>
          <w:i/>
        </w:rPr>
        <w:t>PostgreSQL 16 SQL Dump</w:t>
      </w:r>
      <w:r>
        <w:t xml:space="preserve">. </w:t>
      </w:r>
      <w:hyperlink r:id="rId19">
        <w:r>
          <w:rPr>
            <w:color w:val="000000"/>
          </w:rPr>
          <w:t xml:space="preserve">https://www.postgresql.org/docs/16/backup-dump.html</w:t>
        </w:r>
      </w:hyperlink>
    </w:p>
    <w:p>
      <w:pPr>
        <w:keepLines/>
        <w:ind w:left="432" w:hanging="432"/>
      </w:pPr>
      <w:r>
        <w:t xml:space="preserve">Supabase (s. f.a). </w:t>
      </w:r>
      <w:r>
        <w:rPr>
          <w:i/>
        </w:rPr>
        <w:t>Connecting to Postgres</w:t>
      </w:r>
      <w:r>
        <w:t xml:space="preserve">. </w:t>
      </w:r>
      <w:hyperlink r:id="rId15">
        <w:r>
          <w:rPr>
            <w:color w:val="000000"/>
          </w:rPr>
          <w:t xml:space="preserve">https://supabase.com/docs/guides/database/connecting-to-postgres</w:t>
        </w:r>
      </w:hyperlink>
    </w:p>
    <w:p>
      <w:pPr>
        <w:keepLines/>
        <w:ind w:left="432" w:hanging="432"/>
      </w:pPr>
      <w:r>
        <w:t xml:space="preserve">Vercel (s. f.). </w:t>
      </w:r>
      <w:r>
        <w:rPr>
          <w:i/>
        </w:rPr>
        <w:t>Vercel Functions</w:t>
      </w:r>
      <w:r>
        <w:t xml:space="preserve">. </w:t>
      </w:r>
      <w:hyperlink r:id="rId20">
        <w:r>
          <w:rPr>
            <w:color w:val="000000"/>
          </w:rPr>
          <w:t xml:space="preserve">https://vercel.com/docs/functions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color w:val="000000"/>
        <w:sz w:val="16"/>
      </w:rPr>
      <w:t>LOCALITO   |   Manual técnico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7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0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40"/>
    </w:pPr>
    <w:rPr>
      <w:rFonts w:asciiTheme="majorHAnsi" w:eastAsiaTheme="majorEastAsia" w:hAnsiTheme="majorHAnsi" w:cstheme="majorBidi" w:ascii="Calibri" w:hAnsi="Calibr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tabs>
        <w:tab w:pos="9648" w:val="right" w:leader="dot"/>
      </w:tabs>
      <w:spacing w:after="100" w:line="254" w:lineRule="auto"/>
      <w:ind w:left="0"/>
    </w:pPr>
    <w:rPr>
      <w:rFonts w:ascii="Calibri" w:hAnsi="Calibri"/>
      <w:color w:val="000000"/>
      <w:sz w:val="21"/>
    </w:rPr>
  </w:style>
  <w:style w:type="paragraph" w:customStyle="1" w:styleId="TOC2">
    <w:name w:val="TOC 2"/>
    <w:pPr>
      <w:tabs>
        <w:tab w:pos="9648" w:val="right" w:leader="dot"/>
      </w:tabs>
      <w:spacing w:after="10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widowControl/>
      <w:spacing w:line="252" w:lineRule="auto" w:after="40" w:before="0"/>
    </w:pPr>
    <w:rPr>
      <w:rFonts w:ascii="DejaVu Sans Mono" w:hAnsi="DejaVu Sans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://localhost:3000/health" TargetMode="External"/><Relationship Id="rId12" Type="http://schemas.openxmlformats.org/officeDocument/2006/relationships/hyperlink" Target="http://localhost:5173" TargetMode="External"/><Relationship Id="rId13" Type="http://schemas.openxmlformats.org/officeDocument/2006/relationships/hyperlink" Target="https://console.groq.com/docs/deprecations" TargetMode="External"/><Relationship Id="rId14" Type="http://schemas.openxmlformats.org/officeDocument/2006/relationships/hyperlink" Target="https://supabase.com/docs/guides/troubleshooting/tenant-or-user-not-found" TargetMode="External"/><Relationship Id="rId15" Type="http://schemas.openxmlformats.org/officeDocument/2006/relationships/hyperlink" Target="https://supabase.com/docs/guides/database/connecting-to-postgres" TargetMode="External"/><Relationship Id="rId16" Type="http://schemas.openxmlformats.org/officeDocument/2006/relationships/hyperlink" Target="https://github.com/CamiloGonzalezSt/LocalitoSaaS/blob/ddb9956cf35cfb2035f62528299fd6bb2c9b7d5c/docs/03_requisitos_diseno/Diseno-Interfaz.md" TargetMode="External"/><Relationship Id="rId17" Type="http://schemas.openxmlformats.org/officeDocument/2006/relationships/hyperlink" Target="https://github.com/CamiloGonzalezSt/LocalitoSaaS/blob/ddb9956cf35cfb2035f62528299fd6bb2c9b7d5c/docs/01_documentacion_maestra/Estado-Actual.md" TargetMode="External"/><Relationship Id="rId18" Type="http://schemas.openxmlformats.org/officeDocument/2006/relationships/hyperlink" Target="https://github.com/CamiloGonzalezSt/LocalitoSaaS/tree/ddb9956cf35cfb2035f62528299fd6bb2c9b7d5c" TargetMode="External"/><Relationship Id="rId19" Type="http://schemas.openxmlformats.org/officeDocument/2006/relationships/hyperlink" Target="https://www.postgresql.org/docs/16/backup-dump.html" TargetMode="External"/><Relationship Id="rId20" Type="http://schemas.openxmlformats.org/officeDocument/2006/relationships/hyperlink" Target="https://vercel.com/docs/func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de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