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</w:rPr>
        <w:t>DUOC UC PLAZA NORTE</w:t>
      </w:r>
    </w:p>
    <w:p>
      <w:pPr>
        <w:pStyle w:val="Title"/>
        <w:spacing w:before="480" w:after="360"/>
      </w:pPr>
      <w:r>
        <w:t>Matriz de trazabilidad de Localito</w:t>
      </w:r>
    </w:p>
    <w:p>
      <w:pPr>
        <w:pStyle w:val="Subtitle"/>
      </w:pPr>
      <w:r>
        <w:t>Proyecto Capstone de Ingeniería en Informática</w:t>
      </w:r>
    </w:p>
    <w:p>
      <w:pPr>
        <w:pStyle w:val="Subtitle"/>
      </w:pPr>
      <w:r>
        <w:t>Localito PWA SaaS para gestión de pequeños comercios</w:t>
      </w:r>
    </w:p>
    <w:p>
      <w:pPr>
        <w:spacing w:before="760"/>
      </w:pPr>
      <w:r>
        <w:rPr>
          <w:b/>
        </w:rPr>
        <w:t>Autores</w:t>
      </w:r>
    </w:p>
    <w:p>
      <w:r>
        <w:t>Camilo González</w:t>
        <w:br/>
        <w:t>Alexander Patiño</w:t>
        <w:br/>
        <w:t>Samuel Solís</w:t>
      </w:r>
    </w:p>
    <w:p>
      <w:r>
        <w:t>Docente Álvaro Andrés Mellado Pimentel</w:t>
      </w:r>
    </w:p>
    <w:p>
      <w:r>
        <w:t>Revisión documental 04 de octubre de 2026</w:t>
        <w:br/>
        <w:t>Estados de Scrum al 03 de octubre de 2026</w:t>
      </w:r>
    </w:p>
    <w:p>
      <w:pPr>
        <w:spacing w:before="400"/>
      </w:pPr>
      <w:r>
        <w:t>Este documento desarrolla matriz de trazabilidad con evidencia del repositorio y referencias públicas. Distingue implementación, resultados históricos y mejoras pendientes.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h1">
        <w:r>
          <w:rPr>
            <w:color w:val="000000"/>
          </w:rPr>
          <w:t xml:space="preserve">1 Resumen ejecutivo</w:t>
        </w:r>
      </w:hyperlink>
      <w:r>
        <w:tab/>
      </w:r>
      <w:r>
        <w:fldChar w:fldCharType="begin"/>
      </w:r>
      <w:r>
        <w:instrText xml:space="preserve"> PAGEREF h1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2">
        <w:r>
          <w:rPr>
            <w:color w:val="000000"/>
          </w:rPr>
          <w:t xml:space="preserve">2 Introducción y reglas de lectura</w:t>
        </w:r>
      </w:hyperlink>
      <w:r>
        <w:tab/>
      </w:r>
      <w:r>
        <w:fldChar w:fldCharType="begin"/>
      </w:r>
      <w:r>
        <w:instrText xml:space="preserve"> PAGEREF h2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3">
        <w:r>
          <w:rPr>
            <w:color w:val="000000"/>
          </w:rPr>
          <w:t xml:space="preserve">3 Requisitos funcionales y evidencia</w:t>
        </w:r>
      </w:hyperlink>
      <w:r>
        <w:tab/>
      </w:r>
      <w:r>
        <w:fldChar w:fldCharType="begin"/>
      </w:r>
      <w:r>
        <w:instrText xml:space="preserve"> PAGEREF h3 \h </w:instrText>
      </w:r>
      <w:r>
        <w:fldChar w:fldCharType="separate"/>
      </w:r>
      <w:r>
        <w:t>3</w:t>
      </w:r>
      <w:r>
        <w:fldChar w:fldCharType="end"/>
      </w:r>
    </w:p>
    <w:p>
      <w:pPr>
        <w:pStyle w:val="TOC1"/>
      </w:pPr>
      <w:hyperlink w:anchor="h4">
        <w:r>
          <w:rPr>
            <w:color w:val="000000"/>
          </w:rPr>
          <w:t xml:space="preserve">4 Historias  requisitos y situación de planificación</w:t>
        </w:r>
      </w:hyperlink>
      <w:r>
        <w:tab/>
      </w:r>
      <w:r>
        <w:fldChar w:fldCharType="begin"/>
      </w:r>
      <w:r>
        <w:instrText xml:space="preserve"> PAGEREF h4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</w:pPr>
      <w:hyperlink w:anchor="h5">
        <w:r>
          <w:rPr>
            <w:color w:val="000000"/>
          </w:rPr>
          <w:t xml:space="preserve">5 Calidad y escenarios verificables</w:t>
        </w:r>
      </w:hyperlink>
      <w:r>
        <w:tab/>
      </w:r>
      <w:r>
        <w:fldChar w:fldCharType="begin"/>
      </w:r>
      <w:r>
        <w:instrText xml:space="preserve"> PAGEREF h5 \h </w:instrText>
      </w:r>
      <w:r>
        <w:fldChar w:fldCharType="separate"/>
      </w:r>
      <w:r>
        <w:t>6</w:t>
      </w:r>
      <w:r>
        <w:fldChar w:fldCharType="end"/>
      </w:r>
    </w:p>
    <w:p>
      <w:pPr>
        <w:pStyle w:val="TOC1"/>
      </w:pPr>
      <w:hyperlink w:anchor="h6">
        <w:r>
          <w:rPr>
            <w:color w:val="000000"/>
          </w:rPr>
          <w:t xml:space="preserve">6 Recorridos de trazabilidad de extremo a extremo</w:t>
        </w:r>
      </w:hyperlink>
      <w:r>
        <w:tab/>
      </w:r>
      <w:r>
        <w:fldChar w:fldCharType="begin"/>
      </w:r>
      <w:r>
        <w:instrText xml:space="preserve"> PAGEREF h6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7">
        <w:r>
          <w:rPr>
            <w:color w:val="000000"/>
          </w:rPr>
          <w:t xml:space="preserve">6.1 Venta y existencias</w:t>
        </w:r>
      </w:hyperlink>
      <w:r>
        <w:tab/>
      </w:r>
      <w:r>
        <w:fldChar w:fldCharType="begin"/>
      </w:r>
      <w:r>
        <w:instrText xml:space="preserve"> PAGEREF h7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8">
        <w:r>
          <w:rPr>
            <w:color w:val="000000"/>
          </w:rPr>
          <w:t xml:space="preserve">6.2 Fiado y abono</w:t>
        </w:r>
      </w:hyperlink>
      <w:r>
        <w:tab/>
      </w:r>
      <w:r>
        <w:fldChar w:fldCharType="begin"/>
      </w:r>
      <w:r>
        <w:instrText xml:space="preserve"> PAGEREF h8 \h </w:instrText>
      </w:r>
      <w:r>
        <w:fldChar w:fldCharType="separate"/>
      </w:r>
      <w:r>
        <w:t>7</w:t>
      </w:r>
      <w:r>
        <w:fldChar w:fldCharType="end"/>
      </w:r>
    </w:p>
    <w:p>
      <w:pPr>
        <w:pStyle w:val="TOC2"/>
      </w:pPr>
      <w:hyperlink w:anchor="h9">
        <w:r>
          <w:rPr>
            <w:color w:val="000000"/>
          </w:rPr>
          <w:t xml:space="preserve">6.3 Reconocimiento visual</w:t>
        </w:r>
      </w:hyperlink>
      <w:r>
        <w:tab/>
      </w:r>
      <w:r>
        <w:fldChar w:fldCharType="begin"/>
      </w:r>
      <w:r>
        <w:instrText xml:space="preserve"> PAGEREF h9 \h </w:instrText>
      </w:r>
      <w:r>
        <w:fldChar w:fldCharType="separate"/>
      </w:r>
      <w:r>
        <w:t>7</w:t>
      </w:r>
      <w:r>
        <w:fldChar w:fldCharType="end"/>
      </w:r>
    </w:p>
    <w:p>
      <w:pPr>
        <w:pStyle w:val="TOC1"/>
      </w:pPr>
      <w:hyperlink w:anchor="h10">
        <w:r>
          <w:rPr>
            <w:color w:val="000000"/>
          </w:rPr>
          <w:t xml:space="preserve">7 Brechas y gestión de cambios</w:t>
        </w:r>
      </w:hyperlink>
      <w:r>
        <w:tab/>
      </w:r>
      <w:r>
        <w:fldChar w:fldCharType="begin"/>
      </w:r>
      <w:r>
        <w:instrText xml:space="preserve"> PAGEREF h10 \h </w:instrText>
      </w:r>
      <w:r>
        <w:fldChar w:fldCharType="separate"/>
      </w:r>
      <w:r>
        <w:t>7</w:t>
      </w:r>
      <w:r>
        <w:fldChar w:fldCharType="end"/>
      </w:r>
    </w:p>
    <w:p>
      <w:pPr>
        <w:pStyle w:val="TOC1"/>
      </w:pPr>
      <w:hyperlink w:anchor="h11">
        <w:r>
          <w:rPr>
            <w:color w:val="000000"/>
          </w:rPr>
          <w:t xml:space="preserve">8 Conclusiones</w:t>
        </w:r>
      </w:hyperlink>
      <w:r>
        <w:tab/>
      </w:r>
      <w:r>
        <w:fldChar w:fldCharType="begin"/>
      </w:r>
      <w:r>
        <w:instrText xml:space="preserve"> PAGEREF h11 \h </w:instrText>
      </w:r>
      <w:r>
        <w:fldChar w:fldCharType="separate"/>
      </w:r>
      <w:r>
        <w:t>7</w:t>
      </w:r>
      <w:r>
        <w:fldChar w:fldCharType="end"/>
      </w:r>
    </w:p>
    <w:p>
      <w:pPr>
        <w:pStyle w:val="TOC1"/>
      </w:pPr>
      <w:hyperlink w:anchor="h12">
        <w:r>
          <w:rPr>
            <w:color w:val="000000"/>
          </w:rPr>
          <w:t xml:space="preserve">9 Referencias</w:t>
        </w:r>
      </w:hyperlink>
      <w:r>
        <w:tab/>
      </w:r>
      <w:r>
        <w:fldChar w:fldCharType="begin"/>
      </w:r>
      <w:r>
        <w:instrText xml:space="preserve"> PAGEREF h12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eading1"/>
      </w:pPr>
      <w:bookmarkStart w:id="1" w:name="h1"/>
      <w:r>
        <w:t>1 Resumen ejecutivo</w:t>
      </w:r>
      <w:bookmarkEnd w:id="1"/>
    </w:p>
    <w:p>
      <w:r>
        <w:t>La matriz relaciona 34 requisitos funcionales, 15 requisitos de calidad del documento maestro y 33 historias con diseño, pruebas y brechas. Su objetivo es permitir que una afirmación del informe pueda seguirse hasta una evidencia. La presencia de código o de una prueba parcial no equivale a aceptación integral del requisito.</w:t>
      </w:r>
    </w:p>
    <w:p>
      <w:pPr>
        <w:pStyle w:val="Heading1"/>
      </w:pPr>
      <w:bookmarkStart w:id="2" w:name="h2"/>
      <w:r>
        <w:t>2 Introducción y reglas de lectura</w:t>
      </w:r>
      <w:bookmarkEnd w:id="2"/>
    </w:p>
    <w:p>
      <w:r>
        <w:t xml:space="preserve">La línea base es el documento maestro del repositorio y sus backlogs al corte del 03 de octubre de 2026. La campaña técnica adicional corresponde al 04 de octubre, sobre el commit </w:t>
      </w:r>
      <w:r>
        <w:rPr>
          <w:rFonts w:ascii="DejaVu Sans Mono" w:hAnsi="DejaVu Sans Mono"/>
          <w:sz w:val="18"/>
        </w:rPr>
        <w:t>ddb9956cf35cfb2035f62528299fd6bb2c9b7d5c</w:t>
      </w:r>
      <w:r>
        <w:t>. Los enlaces de esta matriz son relaciones analíticas propuestas en esta revisión; no modifican acuerdos previos ni certifican aprobación del Product Owner.</w:t>
      </w:r>
    </w:p>
    <w:p>
      <w:r>
        <w:t>Se conservan los identificadores RF, NRF, HU y CP originales. AUT01–AUT57 identifican los 57 casos superiores de la salida TAP, que incluye 21 subcasos: 78 pruebas en total. HTTP01–HTTP12 corresponden a la campaña de API local. El Informe de verificación contiene sus nombres y resultados; el Plan de pruebas contiene los CP. No se suman pruebas como porcentaje de requisitos cubiertos porque la relación es de muchos a muchos.</w:t>
      </w:r>
    </w:p>
    <w:p>
      <w:pPr>
        <w:pStyle w:val="Heading1"/>
      </w:pPr>
      <w:bookmarkStart w:id="3" w:name="h3"/>
      <w:r>
        <w:t>3 Requisitos funcionales y evidencia</w:t>
      </w:r>
      <w:bookmarkEnd w:id="3"/>
    </w:p>
    <w:p>
      <w:r>
        <w:t>Las referencias AUT y HTTP tienen resultado aprobado en el alcance indicado. Las referencias CP conservan su estado histórico o pendiente; deben consultarse en el Plan. Todos los RF mantienen aceptación global pendiente hasta completar los criterios, ambiente y revisión del responsable. Arquitectura, Modelo de datos y Diagramas UML explican los mecanismos de soporte.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4498"/>
        <w:gridCol w:w="1705"/>
        <w:gridCol w:w="3445"/>
      </w:tblGrid>
      <w:tr>
        <w:trPr>
          <w:tblHeader/>
          <w:cantSplit/>
        </w:trPr>
        <w:tc>
          <w:tcPr>
            <w:tcW w:type="dxa" w:w="4498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1705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Historia relacionada</w:t>
            </w:r>
          </w:p>
        </w:tc>
        <w:tc>
          <w:tcPr>
            <w:tcW w:type="dxa" w:w="3445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Evidencia o brecha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RF01 Registro de administrador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HU01, HU04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AUT11–14; CP83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RF02 Inicio y cierre de sesión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HU01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AUT09,17; HTTP01–02,12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RF03 Creación y configuración del negocio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HU04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AUT11,15,48; CP77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RF04 Separación entre negocios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HU03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HTTP03–04; AUT11,46–47,57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RF05 Catálogo de productos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HU06–08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HTTP05; CP03–05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RF06 Stock actual y mínimo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HU08–11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AUT32; HTTP07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RF07 Registro de ventas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HU14–15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AUT19,45,49; HTTP06–08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RF08 Descuento de existencias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HU09, HU14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HTTP06–09; CP114 pendiente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RF09 Medios de pago y pagos mixtos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HU16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AUT19,45; CP34,68–69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RF10 Clientes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HU19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AUT19,45; CP12–13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RF11 Venta fiada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HU20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HTTP09; AUT19,45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RF12 Abonos de deuda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HU21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HTTP10; AUT19,49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RF13 Historial del cliente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HU22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CP14,89; validación visual pendiente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RF14 Alertas de stock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HU11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AUT32,50; CP06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RF15 Reportes de ventas y fiados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HU30–31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AUT20,32–35; CP24,109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RF16 Captura con cámara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HU33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CP15,64; dispositivos pendientes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RF17 Reconocimiento visual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HU33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AUT05–07,21–26; proveedor simulado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RF18 Código de barras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HU12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CP16; lectura física pendiente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RF19 Consulta del producto reconocido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HU07, HU33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AUT21,23,26; CP17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RF20 Producto reconocido al ticket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HU14, HU33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AUT27; CP59,66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RF21 Confirmación por baja confianza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HU33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AUT23,29; CP60–61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RF22 Registro de pagos externos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HU16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CP68–69; sin integración POS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RF23 Confirmación de cobro externo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HU16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CP69; validación visual pendiente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RF24 Usuarios internos y roles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HU02, HU05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AUT18,30; HTTP05,11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RF25 Filtros de ventas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HU31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AUT36; CP109,111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RF26 Carga CSV validada e idempotente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HU29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AUT16; CP43,54–56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RF27 Apertura y cierre de caja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HU17–18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AUT20,49; CP18–19,39–40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RF28 Egresos de caja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HU17–18 (parcial)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AUT19,20; CP18,39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RF29 Resultados y margen estimado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HU30–31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AUT20; CP104; conciliación pendiente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RF30 Reconocimiento de varios productos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HU33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AUT23–25; CP58–59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RF31 Revisión humana de propuestas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HU33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AUT27–29; CP50,66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RF32 Factura e ingreso revisado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HU26–28, HU33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AUT28–29; CP47–52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RF33 Kardex de movimientos</w:t>
            </w:r>
          </w:p>
        </w:tc>
        <w:tc>
          <w:tcPr>
            <w:tcW w:type="dxa" w:w="170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HU09–10, HU23, HU28</w:t>
            </w:r>
          </w:p>
        </w:tc>
        <w:tc>
          <w:tcPr>
            <w:tcW w:type="dxa" w:w="3445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AUT19,28,49; CP09,36–37,41</w:t>
            </w:r>
          </w:p>
        </w:tc>
      </w:tr>
      <w:tr>
        <w:trPr>
          <w:cantSplit/>
        </w:trPr>
        <w:tc>
          <w:tcPr>
            <w:tcW w:type="dxa" w:w="449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RF34 Salud y persistencia productiva</w:t>
            </w:r>
          </w:p>
        </w:tc>
        <w:tc>
          <w:tcPr>
            <w:tcW w:type="dxa" w:w="170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Transversal; HU04 parcial</w:t>
            </w:r>
          </w:p>
        </w:tc>
        <w:tc>
          <w:tcPr>
            <w:tcW w:type="dxa" w:w="3445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AUT02–04,08; CP115–118 pendientes</w:t>
            </w:r>
          </w:p>
        </w:tc>
      </w:tr>
    </w:tbl>
    <w:p>
      <w:pPr>
        <w:spacing w:after="20"/>
      </w:pPr>
    </w:p>
    <w:p>
      <w:pPr>
        <w:pStyle w:val="Heading1"/>
      </w:pPr>
      <w:bookmarkStart w:id="4" w:name="h4"/>
      <w:r>
        <w:t>4 Historias  requisitos y situación de planificación</w:t>
      </w:r>
      <w:bookmarkEnd w:id="4"/>
    </w:p>
    <w:p>
      <w:r>
        <w:t>La falta de un RF explícito para una historia muestra una brecha de normalización del documento maestro. Se conserva el trabajo y se propone acordar un nuevo requisito o ampliar uno existente; no se inventa un RF aprobado. Los estados provienen del Sprint Backlog, no se deducen del resultado de pruebas.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984"/>
        <w:gridCol w:w="1973"/>
        <w:gridCol w:w="4691"/>
      </w:tblGrid>
      <w:tr>
        <w:trPr>
          <w:tblHeader/>
          <w:cantSplit/>
        </w:trPr>
        <w:tc>
          <w:tcPr>
            <w:tcW w:type="dxa" w:w="2984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Historia</w:t>
            </w:r>
          </w:p>
        </w:tc>
        <w:tc>
          <w:tcPr>
            <w:tcW w:type="dxa" w:w="1973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Requisitos asociados</w:t>
            </w:r>
          </w:p>
        </w:tc>
        <w:tc>
          <w:tcPr>
            <w:tcW w:type="dxa" w:w="4691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Estado documental al 03 de octubre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HU01 Autenticarse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RF01, RF02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1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HU02 Gestionar roles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RF24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1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HU03 Aislar datos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RF04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1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HU04 Gestionar negocio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RF01, RF03, RF34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2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HU05 Administrar usuarios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RF24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2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HU06 Categorías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RF05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2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HU07 Catálogo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RF05, RF19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2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HU08 Stock inicial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RF05, RF06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2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HU09 Movimientos de stock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RF08, RF33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3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HU10 Kardex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RF33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3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HU11 Alertas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RF06, RF14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3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HU12 Código de barras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RF18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Cerrada en Sprint 3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HU13 Venta offline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Transversal: continuidad offline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En progreso, Sprint 4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HU14 Venta POS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RF07, RF08, RF20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Hecha, Sprint 4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HU15 Descuentos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RF07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Hecha, Sprint 4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HU16 Pagos divididos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RF09, RF22, RF23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Por hacer, Sprint 4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HU17 Abrir caja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RF27, RF28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Por hacer, Sprint 4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HU18 Cerrar caja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RF27, RF28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Por hacer, Sprint 4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HU19 Clientes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RF10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HU20 Venta fiada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RF11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HU21 Abonos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RF12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HU22 Estado de cuenta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RF13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HU23 Devolución y anulación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RF33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HU24 Auditoría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NRF10: auditoría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HU25 Proveedores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Brecha: proveedores sin RF autónomo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HU26 Órdenes de compra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RF32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HU27 Recepción de compras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RF32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HU28 Stock desde recepción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RF32, RF33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HU29 Carga CSV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RF26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HU30 Dashboard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RF15, RF29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HU31 Reportes de ventas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RF15, RF25, RF29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HU32 Reportes de inventario</w:t>
            </w:r>
          </w:p>
        </w:tc>
        <w:tc>
          <w:tcPr>
            <w:tcW w:type="dxa" w:w="1973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Brecha: reporte de inventario sin RF autónomo</w:t>
            </w:r>
          </w:p>
        </w:tc>
        <w:tc>
          <w:tcPr>
            <w:tcW w:type="dxa" w:w="4691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  <w:tr>
        <w:trPr>
          <w:cantSplit/>
        </w:trPr>
        <w:tc>
          <w:tcPr>
            <w:tcW w:type="dxa" w:w="2984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HU33 Reconocimiento visual</w:t>
            </w:r>
          </w:p>
        </w:tc>
        <w:tc>
          <w:tcPr>
            <w:tcW w:type="dxa" w:w="1973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RF16, RF17, RF19, RF20, RF21, RF30, RF31, RF32</w:t>
            </w:r>
          </w:p>
        </w:tc>
        <w:tc>
          <w:tcPr>
            <w:tcW w:type="dxa" w:w="4691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Product Backlog; sin Sprint comprometido</w:t>
            </w:r>
          </w:p>
        </w:tc>
      </w:tr>
    </w:tbl>
    <w:p>
      <w:pPr>
        <w:spacing w:after="20"/>
      </w:pPr>
    </w:p>
    <w:p>
      <w:pPr>
        <w:pStyle w:val="Heading1"/>
      </w:pPr>
      <w:bookmarkStart w:id="5" w:name="h5"/>
      <w:r>
        <w:t>5 Calidad y escenarios verificables</w:t>
      </w:r>
      <w:bookmarkEnd w:id="5"/>
    </w:p>
    <w:p>
      <w:r>
        <w:t>El documento maestro usa NRF01–NRF15. El documento especializado utiliza RNF01–RNF18 para escenarios medibles. Son dos espacios de identificación distintos. Esta correspondencia evita asociar por error los números iguales.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0" w:type="dxa"/>
          <w:right w:w="100" w:type="dxa"/>
        </w:tblCellMar>
      </w:tblPr>
      <w:tblGrid>
        <w:gridCol w:w="2508"/>
        <w:gridCol w:w="1919"/>
        <w:gridCol w:w="5220"/>
      </w:tblGrid>
      <w:tr>
        <w:trPr>
          <w:tblHeader/>
          <w:cantSplit/>
        </w:trPr>
        <w:tc>
          <w:tcPr>
            <w:tcW w:type="dxa" w:w="2508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Requisito maestro</w:t>
            </w:r>
          </w:p>
        </w:tc>
        <w:tc>
          <w:tcPr>
            <w:tcW w:type="dxa" w:w="1919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Escenario especializado</w:t>
            </w:r>
          </w:p>
        </w:tc>
        <w:tc>
          <w:tcPr>
            <w:tcW w:type="dxa" w:w="5220"/>
            <w:vAlign w:val="center"/>
            <w:shd w:fill="404040"/>
          </w:tcPr>
          <w:p>
            <w:pPr>
              <w:keepNext w:val="0"/>
              <w:spacing w:line="252" w:lineRule="auto" w:after="0"/>
            </w:pPr>
            <w:r>
              <w:rPr>
                <w:b/>
                <w:color w:val="FFFFFF"/>
                <w:sz w:val="19"/>
              </w:rPr>
              <w:t>Evidencia y siguiente comprobación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NRF01 Usabilidad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RNF06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Protocolo UAT preparado; observación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NRF02 Rendimiento</w:t>
            </w:r>
          </w:p>
        </w:tc>
        <w:tc>
          <w:tcPr>
            <w:tcW w:type="dxa" w:w="1919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RNF05</w:t>
            </w:r>
          </w:p>
        </w:tc>
        <w:tc>
          <w:tcPr>
            <w:tcW w:type="dxa" w:w="522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CP123 pendiente; sin percentiles de producción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NRF03 Disponibilidad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RNF04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Pruebas de interrupción y seguimiento pendientes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NRF04 Seguridad</w:t>
            </w:r>
          </w:p>
        </w:tc>
        <w:tc>
          <w:tcPr>
            <w:tcW w:type="dxa" w:w="1919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RNF01</w:t>
            </w:r>
          </w:p>
        </w:tc>
        <w:tc>
          <w:tcPr>
            <w:tcW w:type="dxa" w:w="522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AUT09,17; HTTP01–02,12; revisión integral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NRF05 Privacidad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RNF02, RNF11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HTTP03–04; AUT46–47; aislamiento SQL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NRF06 Escalabilidad</w:t>
            </w:r>
          </w:p>
        </w:tc>
        <w:tc>
          <w:tcPr>
            <w:tcW w:type="dxa" w:w="1919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RNF13</w:t>
            </w:r>
          </w:p>
        </w:tc>
        <w:tc>
          <w:tcPr>
            <w:tcW w:type="dxa" w:w="522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Diseño inspeccionado; carga gradual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NRF07 Mantenibilidad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RNF14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Tipos y build aprobados; revisión de cambios futura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NRF08 Compatibilidad</w:t>
            </w:r>
          </w:p>
        </w:tc>
        <w:tc>
          <w:tcPr>
            <w:tcW w:type="dxa" w:w="1919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RNF12</w:t>
            </w:r>
          </w:p>
        </w:tc>
        <w:tc>
          <w:tcPr>
            <w:tcW w:type="dxa" w:w="522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CP121 pendiente en equipos físicos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NRF09 Accesibilidad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RNF07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AUT37–44 verifican reglas y colores; teclado y lector pendientes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NRF10 Auditoría</w:t>
            </w:r>
          </w:p>
        </w:tc>
        <w:tc>
          <w:tcPr>
            <w:tcW w:type="dxa" w:w="1919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RNF10</w:t>
            </w:r>
          </w:p>
        </w:tc>
        <w:tc>
          <w:tcPr>
            <w:tcW w:type="dxa" w:w="522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AUT46; HTTP11; completitud transaccional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NRF11 Integridad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RNF08, RNF09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HTTP06–10; AUT19,45; concurrencia SQL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NRF12 Recuperación</w:t>
            </w:r>
          </w:p>
        </w:tc>
        <w:tc>
          <w:tcPr>
            <w:tcW w:type="dxa" w:w="1919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RNF15</w:t>
            </w:r>
          </w:p>
        </w:tc>
        <w:tc>
          <w:tcPr>
            <w:tcW w:type="dxa" w:w="522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CP118 pendiente; no se acredita restauración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NRF13 Instalabilidad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RNF16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Build aprobado; instalación limpia de contenedores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NRF14 Portabilidad</w:t>
            </w:r>
          </w:p>
        </w:tc>
        <w:tc>
          <w:tcPr>
            <w:tcW w:type="dxa" w:w="1919"/>
            <w:vAlign w:val="center"/>
            <w:shd w:fill="F4F4F4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RNF17</w:t>
            </w:r>
          </w:p>
        </w:tc>
        <w:tc>
          <w:tcPr>
            <w:tcW w:type="dxa" w:w="5220"/>
            <w:vAlign w:val="center"/>
            <w:shd w:fill="F4F4F4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Configuración revisada; migración de ambiente pendiente</w:t>
            </w:r>
          </w:p>
        </w:tc>
      </w:tr>
      <w:tr>
        <w:trPr>
          <w:cantSplit/>
        </w:trPr>
        <w:tc>
          <w:tcPr>
            <w:tcW w:type="dxa" w:w="2508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NRF15 Observabilidad</w:t>
            </w:r>
          </w:p>
        </w:tc>
        <w:tc>
          <w:tcPr>
            <w:tcW w:type="dxa" w:w="1919"/>
            <w:vAlign w:val="center"/>
            <w:shd w:fill="FFFFFF"/>
          </w:tcPr>
          <w:p>
            <w:pPr>
              <w:keepNext w:val="0"/>
              <w:spacing w:line="252" w:lineRule="auto" w:after="0"/>
              <w:jc w:val="center"/>
            </w:pPr>
            <w:r>
              <w:rPr>
                <w:b w:val="0"/>
                <w:color w:val="000000"/>
                <w:sz w:val="19"/>
              </w:rPr>
              <w:t>RNF18</w:t>
            </w:r>
          </w:p>
        </w:tc>
        <w:tc>
          <w:tcPr>
            <w:tcW w:type="dxa" w:w="5220"/>
            <w:vAlign w:val="center"/>
            <w:shd w:fill="FFFFFF"/>
          </w:tcPr>
          <w:p>
            <w:pPr>
              <w:keepNext w:val="0"/>
              <w:spacing w:line="252" w:lineRule="auto" w:after="0"/>
            </w:pPr>
            <w:r>
              <w:rPr>
                <w:b w:val="0"/>
                <w:color w:val="000000"/>
                <w:sz w:val="19"/>
              </w:rPr>
              <w:t>Salud local consultada; monitoreo y alertas pendientes</w:t>
            </w:r>
          </w:p>
        </w:tc>
      </w:tr>
    </w:tbl>
    <w:p>
      <w:pPr>
        <w:spacing w:after="20"/>
      </w:pPr>
    </w:p>
    <w:p>
      <w:r>
        <w:t>RNF03, persistencia productiva, complementa RF34. Su condición de arranque tiene pruebas automatizadas, pero la operación con PostgreSQL real sigue pendiente. Los umbrales propuestos deben ser aceptados por el equipo y el docente antes de utilizarlos como criterios contractuales.</w:t>
      </w:r>
    </w:p>
    <w:p>
      <w:pPr>
        <w:pStyle w:val="Heading1"/>
      </w:pPr>
      <w:bookmarkStart w:id="6" w:name="h6"/>
      <w:r>
        <w:t>6 Recorridos de trazabilidad de extremo a extremo</w:t>
      </w:r>
      <w:bookmarkEnd w:id="6"/>
    </w:p>
    <w:p>
      <w:pPr>
        <w:pStyle w:val="Heading2"/>
      </w:pPr>
      <w:bookmarkStart w:id="7" w:name="h7"/>
      <w:r>
        <w:t>6.1 Venta y existencias</w:t>
      </w:r>
      <w:bookmarkEnd w:id="7"/>
    </w:p>
    <w:p>
      <w:r>
        <w:t>RF07 y RF08 se desarrollan mediante HU14 y HU09. La vista de escenarios muestra confirmación del ticket, API y repositorio; el modelo relaciona venta, detalle y movimiento. HTTP07 verifica venta de dos unidades, total y stock. HTTP08 comprueba reintento secuencial con la misma clave. CP114 y CP115 completarán concurrencia en PostgreSQL. La evidencia actual no basta para afirmar que dos cajas compitiendo por la última unidad estén verificadas en producción.</w:t>
      </w:r>
    </w:p>
    <w:p>
      <w:pPr>
        <w:pStyle w:val="Heading2"/>
      </w:pPr>
      <w:bookmarkStart w:id="8" w:name="h8"/>
      <w:r>
        <w:t>6.2 Fiado y abono</w:t>
      </w:r>
      <w:bookmarkEnd w:id="8"/>
    </w:p>
    <w:p>
      <w:r>
        <w:t>RF11 y RF12 se desarrollan con HU20 y HU21. HTTP09 genera una deuda de 1.000 CLP; HTTP10 aplica un abono de 400 CLP y observa saldo de 600 CLP. AUT45 añade entradas inválidas. Quedan pendientes la experiencia del comerciante, conciliación de reportes y prueba persistente de esas operaciones.</w:t>
      </w:r>
    </w:p>
    <w:p>
      <w:pPr>
        <w:pStyle w:val="Heading2"/>
      </w:pPr>
      <w:bookmarkStart w:id="9" w:name="h9"/>
      <w:r>
        <w:t>6.3 Reconocimiento visual</w:t>
      </w:r>
      <w:bookmarkEnd w:id="9"/>
    </w:p>
    <w:p>
      <w:r>
        <w:t>RF17, RF30 y RF31 se desarrollan con HU33. AUT21–29 examinan normalización, catálogo y propuestas revisadas con respuestas controladas. No miden exactitud de un proveedor externo sobre fotografías reales. El protocolo de validación compara búsqueda, código y fotografía con el mismo catálogo y conserva correcciones y tiempo total.</w:t>
      </w:r>
    </w:p>
    <w:p>
      <w:pPr>
        <w:pStyle w:val="Heading1"/>
      </w:pPr>
      <w:bookmarkStart w:id="10" w:name="h10"/>
      <w:r>
        <w:t>7 Brechas y gestión de cambios</w:t>
      </w:r>
      <w:bookmarkEnd w:id="10"/>
    </w:p>
    <w:p>
      <w:r>
        <w:t>Se deben formalizar los requisitos de continuidad offline, proveedores y reporte de inventario, y detallar egresos dentro de las historias de caja. También se requiere acordar criterios verificables de disponibilidad, recuperación y carga. Estas brechas de trazabilidad no prueban ausencia de funcionalidad; indican que la línea base debe representar explícitamente el comportamiento implementado.</w:t>
      </w:r>
    </w:p>
    <w:p>
      <w:r>
        <w:t>Cada cambio debe registrar fecha, motivo, RF o HU afectado, responsable, decisión del Product Owner, impacto en datos y prueba asociada. El cambio de un estado a aceptado requiere evidencia identificable y decisión del responsable. Se debe conservar la versión anterior para explicar diferencias entre cortes.</w:t>
      </w:r>
    </w:p>
    <w:p>
      <w:pPr>
        <w:pStyle w:val="Heading1"/>
      </w:pPr>
      <w:bookmarkStart w:id="11" w:name="h11"/>
      <w:r>
        <w:t>8 Conclusiones</w:t>
      </w:r>
      <w:bookmarkEnd w:id="11"/>
    </w:p>
    <w:p>
      <w:r>
        <w:t>La matriz hace visibles las relaciones y también los vacíos. Permite priorizar evidencia de integridad y aislamiento, cerrar la aceptación de historias y mantener coherencia entre los informes sin alterar retrospectivamente la planificación. La ingeniería de requisitos orienta esta trazabilidad; no se declara certificación de conformidad con una norma (ISO et al., 2018).</w:t>
      </w:r>
    </w:p>
    <w:p>
      <w:pPr>
        <w:pStyle w:val="Heading1"/>
      </w:pPr>
      <w:bookmarkStart w:id="12" w:name="h12"/>
      <w:r>
        <w:t>9 Referencias</w:t>
      </w:r>
      <w:bookmarkEnd w:id="12"/>
    </w:p>
    <w:p>
      <w:r>
        <w:t>La evidencia del proyecto corresponde a la revisión versionada del repositorio (Equipo Localito, 2026). Las normas se consultaron mediante sus resúmenes públicos; no se declara certificación. Las fuentes web fueron consultadas durante esta revisión, del 03 al 04 de octubre de 2026.</w:t>
      </w:r>
    </w:p>
    <w:p>
      <w:pPr>
        <w:keepLines/>
        <w:ind w:left="432" w:hanging="432"/>
      </w:pPr>
      <w:r>
        <w:t xml:space="preserve">Equipo Localito (2026). </w:t>
      </w:r>
      <w:r>
        <w:rPr>
          <w:i/>
        </w:rPr>
        <w:t>LocalitoSaaS [Código y documentación, commit ddb9956cf35cfb2035f62528299fd6bb2c9b7d5c]</w:t>
      </w:r>
      <w:r>
        <w:t xml:space="preserve">. </w:t>
      </w:r>
      <w:hyperlink r:id="rId11">
        <w:r>
          <w:rPr>
            <w:color w:val="000000"/>
          </w:rPr>
          <w:t xml:space="preserve">https://github.com/CamiloGonzalezSt/LocalitoSaaS/tree/ddb9956cf35cfb2035f62528299fd6bb2c9b7d5c</w:t>
        </w:r>
      </w:hyperlink>
    </w:p>
    <w:p>
      <w:pPr>
        <w:keepLines/>
        <w:ind w:left="432" w:hanging="432"/>
      </w:pPr>
      <w:r>
        <w:t xml:space="preserve">ISO, IEC e IEEE (2018). </w:t>
      </w:r>
      <w:r>
        <w:rPr>
          <w:i/>
        </w:rPr>
        <w:t>29148 Requirements engineering resumen público</w:t>
      </w:r>
      <w:r>
        <w:t xml:space="preserve">. </w:t>
      </w:r>
      <w:hyperlink r:id="rId12">
        <w:r>
          <w:rPr>
            <w:color w:val="000000"/>
          </w:rPr>
          <w:t xml:space="preserve">https://www.iso.org/standard/72089.html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296" w:bottom="1195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LOCALITO   |   Matriz de trazabilidad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Theme="majorHAnsi" w:eastAsiaTheme="majorEastAsia" w:hAnsiTheme="majorHAnsi" w:cstheme="majorBidi"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tabs>
        <w:tab w:pos="9648" w:val="right" w:leader="dot"/>
      </w:tabs>
      <w:spacing w:after="100" w:line="254" w:lineRule="auto"/>
      <w:ind w:left="0"/>
    </w:pPr>
    <w:rPr>
      <w:rFonts w:ascii="Calibri" w:hAnsi="Calibri"/>
      <w:color w:val="000000"/>
      <w:sz w:val="21"/>
    </w:rPr>
  </w:style>
  <w:style w:type="paragraph" w:customStyle="1" w:styleId="TOC2">
    <w:name w:val="TOC 2"/>
    <w:pPr>
      <w:tabs>
        <w:tab w:pos="9648" w:val="right" w:leader="dot"/>
      </w:tabs>
      <w:spacing w:after="100" w:line="254" w:lineRule="auto"/>
      <w:ind w:left="274"/>
    </w:pPr>
    <w:rPr>
      <w:rFonts w:ascii="Calibri" w:hAnsi="Calibri"/>
      <w:color w:val="000000"/>
      <w:sz w:val="21"/>
    </w:rPr>
  </w:style>
  <w:style w:type="paragraph" w:customStyle="1" w:styleId="Code">
    <w:name w:val="Code"/>
    <w:pPr>
      <w:widowControl/>
      <w:spacing w:line="252" w:lineRule="auto" w:after="40" w:before="0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amiloGonzalezSt/LocalitoSaaS/tree/ddb9956cf35cfb2035f62528299fd6bb2c9b7d5c" TargetMode="External"/><Relationship Id="rId12" Type="http://schemas.openxmlformats.org/officeDocument/2006/relationships/hyperlink" Target="https://www.iso.org/standard/7208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Localito</dc:title>
  <dc:subject>Proyecto Capstone Localito Duoc UC Plaza Norte</dc:subject>
  <dc:creator>Camilo González, Alexander Patiño y Samuel Solís</dc:creator>
  <cp:keywords>Localito, tesis, Capstone, documentación técnica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