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60"/>
      </w:pPr>
      <w:r>
        <w:rPr>
          <w:b/>
        </w:rPr>
        <w:t>DUOC UC PLAZA NORTE</w:t>
      </w:r>
    </w:p>
    <w:p>
      <w:pPr>
        <w:pStyle w:val="Title"/>
        <w:spacing w:before="480" w:after="360"/>
      </w:pPr>
      <w:r>
        <w:t>Plan de pruebas de Localito</w:t>
      </w:r>
    </w:p>
    <w:p>
      <w:pPr>
        <w:pStyle w:val="Subtitle"/>
      </w:pPr>
      <w:r>
        <w:t>Proyecto Capstone de Ingeniería en Informática</w:t>
      </w:r>
    </w:p>
    <w:p>
      <w:pPr>
        <w:pStyle w:val="Subtitle"/>
      </w:pPr>
      <w:r>
        <w:t>Localito PWA SaaS para gestión de pequeños comercios</w:t>
      </w:r>
    </w:p>
    <w:p>
      <w:pPr>
        <w:spacing w:before="760"/>
      </w:pPr>
      <w:r>
        <w:rPr>
          <w:b/>
        </w:rPr>
        <w:t>Autores</w:t>
      </w:r>
    </w:p>
    <w:p>
      <w:r>
        <w:t>Camilo González</w:t>
        <w:br/>
        <w:t>Alexander Patiño</w:t>
        <w:br/>
        <w:t>Samuel Solís</w:t>
      </w:r>
    </w:p>
    <w:p>
      <w:r>
        <w:t>Docente Álvaro Andrés Mellado Pimentel</w:t>
      </w:r>
    </w:p>
    <w:p>
      <w:r>
        <w:t>Revisión documental 04 de octubre de 2026</w:t>
        <w:br/>
        <w:t>Estados de Scrum al 03 de octubre de 2026</w:t>
      </w:r>
    </w:p>
    <w:p>
      <w:pPr>
        <w:spacing w:before="400"/>
      </w:pPr>
      <w:r>
        <w:t>Este documento desarrolla plan de pruebas con evidencia del repositorio y referencias públicas. Distingue implementación, resultados históricos y mejoras pendientes.</w:t>
      </w:r>
    </w:p>
    <w:p>
      <w:r>
        <w:br w:type="page"/>
      </w:r>
    </w:p>
    <w:p>
      <w:pPr>
        <w:pStyle w:val="Heading1"/>
      </w:pPr>
      <w:r>
        <w:t>Índice</w:t>
      </w:r>
    </w:p>
    <w:p>
      <w:pPr>
        <w:pStyle w:val="TOC1"/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h1">
        <w:r>
          <w:rPr>
            <w:color w:val="000000"/>
          </w:rPr>
          <w:t xml:space="preserve">1 Resumen ejecutivo</w:t>
        </w:r>
      </w:hyperlink>
      <w:r>
        <w:tab/>
      </w:r>
      <w:r>
        <w:fldChar w:fldCharType="begin"/>
      </w:r>
      <w:r>
        <w:instrText xml:space="preserve"> PAGEREF h1 \h </w:instrText>
      </w:r>
      <w:r>
        <w:fldChar w:fldCharType="separate"/>
      </w:r>
      <w:r>
        <w:t>3</w:t>
      </w:r>
      <w:r>
        <w:fldChar w:fldCharType="end"/>
      </w:r>
    </w:p>
    <w:p>
      <w:pPr>
        <w:pStyle w:val="TOC1"/>
      </w:pPr>
      <w:hyperlink w:anchor="h2">
        <w:r>
          <w:rPr>
            <w:color w:val="000000"/>
          </w:rPr>
          <w:t xml:space="preserve">2 Introducción y objetivos</w:t>
        </w:r>
      </w:hyperlink>
      <w:r>
        <w:tab/>
      </w:r>
      <w:r>
        <w:fldChar w:fldCharType="begin"/>
      </w:r>
      <w:r>
        <w:instrText xml:space="preserve"> PAGEREF h2 \h </w:instrText>
      </w:r>
      <w:r>
        <w:fldChar w:fldCharType="separate"/>
      </w:r>
      <w:r>
        <w:t>3</w:t>
      </w:r>
      <w:r>
        <w:fldChar w:fldCharType="end"/>
      </w:r>
    </w:p>
    <w:p>
      <w:pPr>
        <w:pStyle w:val="TOC1"/>
      </w:pPr>
      <w:hyperlink w:anchor="h3">
        <w:r>
          <w:rPr>
            <w:color w:val="000000"/>
          </w:rPr>
          <w:t xml:space="preserve">3 Alcance y niveles de prueba</w:t>
        </w:r>
      </w:hyperlink>
      <w:r>
        <w:tab/>
      </w:r>
      <w:r>
        <w:fldChar w:fldCharType="begin"/>
      </w:r>
      <w:r>
        <w:instrText xml:space="preserve"> PAGEREF h3 \h </w:instrText>
      </w:r>
      <w:r>
        <w:fldChar w:fldCharType="separate"/>
      </w:r>
      <w:r>
        <w:t>3</w:t>
      </w:r>
      <w:r>
        <w:fldChar w:fldCharType="end"/>
      </w:r>
    </w:p>
    <w:p>
      <w:pPr>
        <w:pStyle w:val="TOC1"/>
      </w:pPr>
      <w:hyperlink w:anchor="h4">
        <w:r>
          <w:rPr>
            <w:color w:val="000000"/>
          </w:rPr>
          <w:t xml:space="preserve">4 Ambiente y datos</w:t>
        </w:r>
      </w:hyperlink>
      <w:r>
        <w:tab/>
      </w:r>
      <w:r>
        <w:fldChar w:fldCharType="begin"/>
      </w:r>
      <w:r>
        <w:instrText xml:space="preserve"> PAGEREF h4 \h </w:instrText>
      </w:r>
      <w:r>
        <w:fldChar w:fldCharType="separate"/>
      </w:r>
      <w:r>
        <w:t>3</w:t>
      </w:r>
      <w:r>
        <w:fldChar w:fldCharType="end"/>
      </w:r>
    </w:p>
    <w:p>
      <w:pPr>
        <w:pStyle w:val="TOC1"/>
      </w:pPr>
      <w:hyperlink w:anchor="h5">
        <w:r>
          <w:rPr>
            <w:color w:val="000000"/>
          </w:rPr>
          <w:t xml:space="preserve">5 Ejecución automatizada y alcance real</w:t>
        </w:r>
      </w:hyperlink>
      <w:r>
        <w:tab/>
      </w:r>
      <w:r>
        <w:fldChar w:fldCharType="begin"/>
      </w:r>
      <w:r>
        <w:instrText xml:space="preserve"> PAGEREF h5 \h </w:instrText>
      </w:r>
      <w:r>
        <w:fldChar w:fldCharType="separate"/>
      </w:r>
      <w:r>
        <w:t>3</w:t>
      </w:r>
      <w:r>
        <w:fldChar w:fldCharType="end"/>
      </w:r>
    </w:p>
    <w:p>
      <w:pPr>
        <w:pStyle w:val="TOC1"/>
      </w:pPr>
      <w:hyperlink w:anchor="h6">
        <w:r>
          <w:rPr>
            <w:color w:val="000000"/>
          </w:rPr>
          <w:t xml:space="preserve">6 Criterios de entrada y salida</w:t>
        </w:r>
      </w:hyperlink>
      <w:r>
        <w:tab/>
      </w:r>
      <w:r>
        <w:fldChar w:fldCharType="begin"/>
      </w:r>
      <w:r>
        <w:instrText xml:space="preserve"> PAGEREF h6 \h </w:instrText>
      </w:r>
      <w:r>
        <w:fldChar w:fldCharType="separate"/>
      </w:r>
      <w:r>
        <w:t>4</w:t>
      </w:r>
      <w:r>
        <w:fldChar w:fldCharType="end"/>
      </w:r>
    </w:p>
    <w:p>
      <w:pPr>
        <w:pStyle w:val="TOC1"/>
      </w:pPr>
      <w:hyperlink w:anchor="h7">
        <w:r>
          <w:rPr>
            <w:color w:val="000000"/>
          </w:rPr>
          <w:t xml:space="preserve">7 Catálogo de casos de la matriz</w:t>
        </w:r>
      </w:hyperlink>
      <w:r>
        <w:tab/>
      </w:r>
      <w:r>
        <w:fldChar w:fldCharType="begin"/>
      </w:r>
      <w:r>
        <w:instrText xml:space="preserve"> PAGEREF h7 \h </w:instrText>
      </w:r>
      <w:r>
        <w:fldChar w:fldCharType="separate"/>
      </w:r>
      <w:r>
        <w:t>4</w:t>
      </w:r>
      <w:r>
        <w:fldChar w:fldCharType="end"/>
      </w:r>
    </w:p>
    <w:p>
      <w:pPr>
        <w:pStyle w:val="TOC1"/>
      </w:pPr>
      <w:hyperlink w:anchor="h121">
        <w:r>
          <w:rPr>
            <w:color w:val="000000"/>
          </w:rPr>
          <w:t xml:space="preserve">8 Casos adicionales de arquitectura y calidad</w:t>
        </w:r>
      </w:hyperlink>
      <w:r>
        <w:tab/>
      </w:r>
      <w:r>
        <w:fldChar w:fldCharType="begin"/>
      </w:r>
      <w:r>
        <w:instrText xml:space="preserve"> PAGEREF h121 \h </w:instrText>
      </w:r>
      <w:r>
        <w:fldChar w:fldCharType="separate"/>
      </w:r>
      <w:r>
        <w:t>25</w:t>
      </w:r>
      <w:r>
        <w:fldChar w:fldCharType="end"/>
      </w:r>
    </w:p>
    <w:p>
      <w:pPr>
        <w:pStyle w:val="TOC1"/>
      </w:pPr>
      <w:hyperlink w:anchor="h122">
        <w:r>
          <w:rPr>
            <w:color w:val="000000"/>
          </w:rPr>
          <w:t xml:space="preserve">9 Evidencia histórica y límites</w:t>
        </w:r>
      </w:hyperlink>
      <w:r>
        <w:tab/>
      </w:r>
      <w:r>
        <w:fldChar w:fldCharType="begin"/>
      </w:r>
      <w:r>
        <w:instrText xml:space="preserve"> PAGEREF h122 \h </w:instrText>
      </w:r>
      <w:r>
        <w:fldChar w:fldCharType="separate"/>
      </w:r>
      <w:r>
        <w:t>25</w:t>
      </w:r>
      <w:r>
        <w:fldChar w:fldCharType="end"/>
      </w:r>
    </w:p>
    <w:p>
      <w:pPr>
        <w:pStyle w:val="TOC1"/>
      </w:pPr>
      <w:hyperlink w:anchor="h123">
        <w:r>
          <w:rPr>
            <w:color w:val="000000"/>
          </w:rPr>
          <w:t xml:space="preserve">10 Campaña complementaria de integración y validación</w:t>
        </w:r>
      </w:hyperlink>
      <w:r>
        <w:tab/>
      </w:r>
      <w:r>
        <w:fldChar w:fldCharType="begin"/>
      </w:r>
      <w:r>
        <w:instrText xml:space="preserve"> PAGEREF h123 \h </w:instrText>
      </w:r>
      <w:r>
        <w:fldChar w:fldCharType="separate"/>
      </w:r>
      <w:r>
        <w:t>25</w:t>
      </w:r>
      <w:r>
        <w:fldChar w:fldCharType="end"/>
      </w:r>
    </w:p>
    <w:p>
      <w:pPr>
        <w:pStyle w:val="TOC1"/>
      </w:pPr>
      <w:hyperlink w:anchor="h134">
        <w:r>
          <w:rPr>
            <w:color w:val="000000"/>
          </w:rPr>
          <w:t xml:space="preserve">11 Campaña ejecutada del 04 de octubre</w:t>
        </w:r>
      </w:hyperlink>
      <w:r>
        <w:tab/>
      </w:r>
      <w:r>
        <w:fldChar w:fldCharType="begin"/>
      </w:r>
      <w:r>
        <w:instrText xml:space="preserve"> PAGEREF h134 \h </w:instrText>
      </w:r>
      <w:r>
        <w:fldChar w:fldCharType="separate"/>
      </w:r>
      <w:r>
        <w:t>28</w:t>
      </w:r>
      <w:r>
        <w:fldChar w:fldCharType="end"/>
      </w:r>
    </w:p>
    <w:p>
      <w:pPr>
        <w:pStyle w:val="TOC1"/>
      </w:pPr>
      <w:hyperlink w:anchor="h135">
        <w:r>
          <w:rPr>
            <w:color w:val="000000"/>
          </w:rPr>
          <w:t xml:space="preserve">12 Conclusiones</w:t>
        </w:r>
      </w:hyperlink>
      <w:r>
        <w:tab/>
      </w:r>
      <w:r>
        <w:fldChar w:fldCharType="begin"/>
      </w:r>
      <w:r>
        <w:instrText xml:space="preserve"> PAGEREF h135 \h </w:instrText>
      </w:r>
      <w:r>
        <w:fldChar w:fldCharType="separate"/>
      </w:r>
      <w:r>
        <w:t>28</w:t>
      </w:r>
      <w:r>
        <w:fldChar w:fldCharType="end"/>
      </w:r>
    </w:p>
    <w:p>
      <w:pPr>
        <w:pStyle w:val="TOC1"/>
      </w:pPr>
      <w:hyperlink w:anchor="h136">
        <w:r>
          <w:rPr>
            <w:color w:val="000000"/>
          </w:rPr>
          <w:t xml:space="preserve">13 Referencias</w:t>
        </w:r>
      </w:hyperlink>
      <w:r>
        <w:tab/>
      </w:r>
      <w:r>
        <w:fldChar w:fldCharType="begin"/>
      </w:r>
      <w:r>
        <w:instrText xml:space="preserve"> PAGEREF h136 \h </w:instrText>
      </w:r>
      <w:r>
        <w:fldChar w:fldCharType="separate"/>
      </w:r>
      <w:r>
        <w:t>28</w:t>
      </w:r>
      <w:r>
        <w:fldChar w:fldCharType="end"/>
      </w:r>
      <w:r>
        <w:fldChar w:fldCharType="end"/>
      </w:r>
    </w:p>
    <w:p>
      <w:r>
        <w:br w:type="page"/>
      </w:r>
    </w:p>
    <w:p>
      <w:pPr>
        <w:pStyle w:val="Heading1"/>
      </w:pPr>
      <w:bookmarkStart w:id="1" w:name="h1"/>
      <w:r>
        <w:t>1 Resumen ejecutivo</w:t>
      </w:r>
      <w:bookmarkEnd w:id="1"/>
    </w:p>
    <w:p>
      <w:r>
        <w:t>El plan verifica funcionalidades, integridad, permisos, regresión y operación del MVP. La fuente mantiene casos manuales con estados explícitos y pruebas automatizadas en código. Esta versión desarrolla procedimiento, ambiente, criterios de salida y catálogo de casos, conservando pendientes. Incluye una campaña adicional del 04 de octubre: tipos y build aprobados, 78 pruebas automatizadas y 12 casos HTTP locales aprobados. El comando agregado npm run check se bloqueó en el lanzador; el Informe de verificación explica la ejecución alternativa y sus límites.</w:t>
      </w:r>
    </w:p>
    <w:p>
      <w:pPr>
        <w:pStyle w:val="Heading1"/>
      </w:pPr>
      <w:bookmarkStart w:id="2" w:name="h2"/>
      <w:r>
        <w:t>2 Introducción y objetivos</w:t>
      </w:r>
      <w:bookmarkEnd w:id="2"/>
    </w:p>
    <w:p>
      <w:r>
        <w:t>La evaluación requiere relacionar requisitos y resultados. Se prueba venta y efecto sobre stock; fiado y saldo; compra y recepción; permisos y aislamiento. Los tipos, build y pruebas de lógica detectan errores distintos. Node proporciona el ejecutor de pruebas utilizado por el proyecto (Node.js, s. f.), sin que su existencia acredite cobertura suficiente.</w:t>
      </w:r>
    </w:p>
    <w:p>
      <w:pPr>
        <w:pStyle w:val="Heading1"/>
      </w:pPr>
      <w:bookmarkStart w:id="3" w:name="h3"/>
      <w:r>
        <w:t>3 Alcance y niveles de prueba</w:t>
      </w:r>
      <w:bookmarkEnd w:id="3"/>
    </w:p>
    <w:p>
      <w:r>
        <w:t>Las pruebas de lógica revisan funciones de cálculo y validación. Las de integración deben comprobar las relaciones entre API y PostgreSQL. La regresión visual revisa estados y legibilidad; UAT revisa tareas con usuarios. Las pruebas de dispositivo evalúan cámara, PWA y almacenamiento. Cada resultado conserva el nivel y ambiente donde se obtuvo.</w:t>
      </w:r>
    </w:p>
    <w:p>
      <w:r>
        <w:t>Una prueba MemoryRepository no verifica locks ni concurrencia SQL. La ejecución actual se acredita únicamente mediante el TAP y los resultados HTTP identificados en el Informe de verificación. Los registros históricos se describen como históricos y los estados manuales se mantienen según su matriz.</w:t>
      </w:r>
    </w:p>
    <w:p>
      <w:pPr>
        <w:pStyle w:val="Heading1"/>
      </w:pPr>
      <w:bookmarkStart w:id="4" w:name="h4"/>
      <w:r>
        <w:t>4 Ambiente y datos</w:t>
      </w:r>
      <w:bookmarkEnd w:id="4"/>
    </w:p>
    <w:p>
      <w:r>
        <w:t>El ambiente propuesto utiliza una base aislada, dos negocios, owner y seller por negocio, productos activos e inactivos y clientes con distintas condiciones de crédito. Se registran commit, versiones, hora, red y navegador. Las imágenes de factura y productos deben ser sintéticas o autorizadas y no incluir información privada del negocio real.</w:t>
      </w:r>
    </w:p>
    <w:p>
      <w:r>
        <w:t>El stock inicial de cada caso se fija antes de comenzar. Las ventas concurrentes utilizan el mismo producto controlado; los reintentos conservan la clave original. Las pruebas que requieren limpieza deben describirla y evitar alterar datos de producción. Si no hay ambiente seguro, se conserva pendiente.</w:t>
      </w:r>
    </w:p>
    <w:p>
      <w:pPr>
        <w:pStyle w:val="Heading1"/>
      </w:pPr>
      <w:bookmarkStart w:id="5" w:name="h5"/>
      <w:r>
        <w:t>5 Ejecución automatizada y alcance real</w:t>
      </w:r>
      <w:bookmarkEnd w:id="5"/>
    </w:p>
    <w:p>
      <w:pPr>
        <w:pStyle w:val="Code"/>
      </w:pPr>
      <w:r>
        <w:t>npm ci</w:t>
      </w:r>
    </w:p>
    <w:p>
      <w:pPr>
        <w:pStyle w:val="Code"/>
      </w:pPr>
      <w:r>
        <w:t>npm run check</w:t>
      </w:r>
    </w:p>
    <w:p>
      <w:pPr>
        <w:spacing w:after="20"/>
      </w:pPr>
    </w:p>
    <w:p>
      <w:r>
        <w:t>package.json define check como typecheck, test y build. El script test utiliza tsx con el ejecutor Node y archivos de API y scripts. El workflow de CI ejecuta instalación reproducible y ese comando. Su presencia se comprobó estáticamente; para acreditar ejecución se debe consultar la corrida específica y guardar su resultado.</w:t>
      </w:r>
    </w:p>
    <w:p>
      <w:pPr>
        <w:pStyle w:val="Heading1"/>
      </w:pPr>
      <w:bookmarkStart w:id="6" w:name="h6"/>
      <w:r>
        <w:t>6 Criterios de entrada y salida</w:t>
      </w:r>
      <w:bookmarkEnd w:id="6"/>
    </w:p>
    <w:p>
      <w:r>
        <w:t>Se inicia con ambiente accesible, datos preparados y alcance conocido. Se considera salida de una campaña cuando los casos seleccionados tienen resultado y los defectos críticos están resueltos o el incremento permanece pendiente. No se aprueba una campaña porque solo se ejecutaron casos favorables. Rechazos y efectos sobre datos forman parte del resultado.</w:t>
      </w:r>
    </w:p>
    <w:p>
      <w:r>
        <w:t>Los defectos incluyen identificador, pasos, esperado, obtenido, entorno y evidencia. Una respuesta ambigua posterior al commit exige revisar la venta antes de repetir. El fallo de captura no equivale al fallo funcional y debe documentarse por separado.</w:t>
      </w:r>
    </w:p>
    <w:p>
      <w:pPr>
        <w:pStyle w:val="Heading1"/>
      </w:pPr>
      <w:bookmarkStart w:id="7" w:name="h7"/>
      <w:r>
        <w:t>7 Catálogo de casos de la matriz</w:t>
      </w:r>
      <w:bookmarkEnd w:id="7"/>
    </w:p>
    <w:p>
      <w:r>
        <w:t>Cada caso conserva el estado original. Para ejecutarlo se deben completar precondiciones específicas y registrar ambiente, commit, estado anterior y posterior y evidencia. La nueva campaña AUT/HTTP se registra por separado; no se atribuye a los CP manuales una ejecución que no se realizó. Las diferencias de puertos o rutas de las instrucciones históricas se ajustan al ambiente auditado antes de la campaña; Vite utiliza 5173 por defecto.</w:t>
      </w:r>
    </w:p>
    <w:p>
      <w:pPr>
        <w:pStyle w:val="Heading3"/>
      </w:pPr>
      <w:bookmarkStart w:id="8" w:name="h8"/>
      <w:r>
        <w:t>7.1 CP 01 Inicio de sesión dueño</w:t>
      </w:r>
      <w:bookmarkEnd w:id="8"/>
    </w:p>
    <w:p>
      <w:r>
        <w:t>Módulo. Autenticación.</w:t>
      </w:r>
    </w:p>
    <w:p>
      <w:r>
        <w:t>Procedimiento de la fuente. Ingresar correo y clave demo.</w:t>
      </w:r>
    </w:p>
    <w:p>
      <w:r>
        <w:t>Resultado esperado. El sistema muestra panel del dia y nombre del usuario.</w:t>
      </w:r>
    </w:p>
    <w:p>
      <w:r>
        <w:t>Estado registrado. Pendiente evidencia.</w:t>
      </w:r>
    </w:p>
    <w:p>
      <w:pPr>
        <w:pStyle w:val="Heading3"/>
      </w:pPr>
      <w:bookmarkStart w:id="9" w:name="h9"/>
      <w:r>
        <w:t>7.2 CP 02 Rechazo de clave incorrecta</w:t>
      </w:r>
      <w:bookmarkEnd w:id="9"/>
    </w:p>
    <w:p>
      <w:r>
        <w:t>Módulo. Autenticación.</w:t>
      </w:r>
    </w:p>
    <w:p>
      <w:r>
        <w:t>Procedimiento de la fuente. Ingresar usuario válido con clave incorrecta.</w:t>
      </w:r>
    </w:p>
    <w:p>
      <w:r>
        <w:t>Resultado esperado. El sistema responde credenciales inválidas.</w:t>
      </w:r>
    </w:p>
    <w:p>
      <w:r>
        <w:t>Estado registrado. Pendiente evidencia.</w:t>
      </w:r>
    </w:p>
    <w:p>
      <w:pPr>
        <w:pStyle w:val="Heading3"/>
      </w:pPr>
      <w:bookmarkStart w:id="10" w:name="h10"/>
      <w:r>
        <w:t>7.3 CP 03 Crear producto</w:t>
      </w:r>
      <w:bookmarkEnd w:id="10"/>
    </w:p>
    <w:p>
      <w:r>
        <w:t>Módulo. Productos.</w:t>
      </w:r>
    </w:p>
    <w:p>
      <w:r>
        <w:t>Procedimiento de la fuente. Ir a Stock, completar formulario y crear.</w:t>
      </w:r>
    </w:p>
    <w:p>
      <w:r>
        <w:t>Resultado esperado. Producto aparece en inventario y puede venderse.</w:t>
      </w:r>
    </w:p>
    <w:p>
      <w:r>
        <w:t>Estado registrado. Pendiente evidencia.</w:t>
      </w:r>
    </w:p>
    <w:p>
      <w:pPr>
        <w:pStyle w:val="Heading3"/>
      </w:pPr>
      <w:bookmarkStart w:id="11" w:name="h11"/>
      <w:r>
        <w:t>7.4 CP 04 Editar producto</w:t>
      </w:r>
      <w:bookmarkEnd w:id="11"/>
    </w:p>
    <w:p>
      <w:r>
        <w:t>Módulo. Productos.</w:t>
      </w:r>
    </w:p>
    <w:p>
      <w:r>
        <w:t>Procedimiento de la fuente. Seleccionar editar, cambiar precio o stock minimo, guardar.</w:t>
      </w:r>
    </w:p>
    <w:p>
      <w:r>
        <w:t>Resultado esperado. Producto refleja cambios.</w:t>
      </w:r>
    </w:p>
    <w:p>
      <w:r>
        <w:t>Estado registrado. Pendiente evidencia.</w:t>
      </w:r>
    </w:p>
    <w:p>
      <w:pPr>
        <w:pStyle w:val="Heading3"/>
      </w:pPr>
      <w:bookmarkStart w:id="12" w:name="h12"/>
      <w:r>
        <w:t>7.5 CP 05 Desactivar producto</w:t>
      </w:r>
      <w:bookmarkEnd w:id="12"/>
    </w:p>
    <w:p>
      <w:r>
        <w:t>Módulo. Productos.</w:t>
      </w:r>
    </w:p>
    <w:p>
      <w:r>
        <w:t>Procedimiento de la fuente. Presionar desactivar en un producto.</w:t>
      </w:r>
    </w:p>
    <w:p>
      <w:r>
        <w:t>Resultado esperado. Producto deja de aparecer en inventario activo.</w:t>
      </w:r>
    </w:p>
    <w:p>
      <w:r>
        <w:t>Estado registrado. Pendiente evidencia.</w:t>
      </w:r>
    </w:p>
    <w:p>
      <w:pPr>
        <w:pStyle w:val="Heading3"/>
      </w:pPr>
      <w:bookmarkStart w:id="13" w:name="h13"/>
      <w:r>
        <w:t>7.6 CP 06 Alerta de stock bajo</w:t>
      </w:r>
      <w:bookmarkEnd w:id="13"/>
    </w:p>
    <w:p>
      <w:r>
        <w:t>Módulo. Stock.</w:t>
      </w:r>
    </w:p>
    <w:p>
      <w:r>
        <w:t>Procedimiento de la fuente. Dejar stock menor o igual al minimo.</w:t>
      </w:r>
    </w:p>
    <w:p>
      <w:r>
        <w:t>Resultado esperado. Dashboard muestra alerta.</w:t>
      </w:r>
    </w:p>
    <w:p>
      <w:r>
        <w:t>Estado registrado. Pendiente evidencia.</w:t>
      </w:r>
    </w:p>
    <w:p>
      <w:pPr>
        <w:pStyle w:val="Heading3"/>
      </w:pPr>
      <w:bookmarkStart w:id="14" w:name="h14"/>
      <w:r>
        <w:t>7.7 CP 07 Venta normal</w:t>
      </w:r>
      <w:bookmarkEnd w:id="14"/>
    </w:p>
    <w:p>
      <w:r>
        <w:t>Módulo. Ventas.</w:t>
      </w:r>
    </w:p>
    <w:p>
      <w:r>
        <w:t>Procedimiento de la fuente. Agregar producto al ticket y confirmar con efectivo.</w:t>
      </w:r>
    </w:p>
    <w:p>
      <w:r>
        <w:t>Resultado esperado. Se registra venta, baja stock y se muestra comprobante.</w:t>
      </w:r>
    </w:p>
    <w:p>
      <w:r>
        <w:t>Estado registrado. Pendiente evidencia.</w:t>
      </w:r>
    </w:p>
    <w:p>
      <w:pPr>
        <w:pStyle w:val="Heading3"/>
      </w:pPr>
      <w:bookmarkStart w:id="15" w:name="h15"/>
      <w:r>
        <w:t>7.8 CP 08 Venta fiada</w:t>
      </w:r>
      <w:bookmarkEnd w:id="15"/>
    </w:p>
    <w:p>
      <w:r>
        <w:t>Módulo. Ventas.</w:t>
      </w:r>
    </w:p>
    <w:p>
      <w:r>
        <w:t>Procedimiento de la fuente. Seleccionar metodo fiado, elegir cliente y confirmar.</w:t>
      </w:r>
    </w:p>
    <w:p>
      <w:r>
        <w:t>Resultado esperado. Se registra venta y aumenta deuda del cliente.</w:t>
      </w:r>
    </w:p>
    <w:p>
      <w:r>
        <w:t>Estado registrado. Pendiente evidencia.</w:t>
      </w:r>
    </w:p>
    <w:p>
      <w:pPr>
        <w:pStyle w:val="Heading3"/>
      </w:pPr>
      <w:bookmarkStart w:id="16" w:name="h16"/>
      <w:r>
        <w:t>7.9 CP 09 Anular venta</w:t>
      </w:r>
      <w:bookmarkEnd w:id="16"/>
    </w:p>
    <w:p>
      <w:r>
        <w:t>Módulo. Ventas.</w:t>
      </w:r>
    </w:p>
    <w:p>
      <w:r>
        <w:t>Procedimiento de la fuente. Ir a Reportes y anular venta activa.</w:t>
      </w:r>
    </w:p>
    <w:p>
      <w:r>
        <w:t>Resultado esperado. Venta queda anulada y stock se restaura.</w:t>
      </w:r>
    </w:p>
    <w:p>
      <w:r>
        <w:t>Estado registrado. Pendiente evidencia.</w:t>
      </w:r>
    </w:p>
    <w:p>
      <w:pPr>
        <w:pStyle w:val="Heading3"/>
      </w:pPr>
      <w:bookmarkStart w:id="17" w:name="h17"/>
      <w:r>
        <w:t>7.10 CP 10 Imprimir comprobante</w:t>
      </w:r>
      <w:bookmarkEnd w:id="17"/>
    </w:p>
    <w:p>
      <w:r>
        <w:t>Módulo. Ticket.</w:t>
      </w:r>
    </w:p>
    <w:p>
      <w:r>
        <w:t>Procedimiento de la fuente. Confirmar venta y presionar imprimir.</w:t>
      </w:r>
    </w:p>
    <w:p>
      <w:r>
        <w:t>Resultado esperado. Se abre diálogo de impresión con ticket interno.</w:t>
      </w:r>
    </w:p>
    <w:p>
      <w:r>
        <w:t>Estado registrado. Pendiente evidencia.</w:t>
      </w:r>
    </w:p>
    <w:p>
      <w:pPr>
        <w:pStyle w:val="Heading3"/>
      </w:pPr>
      <w:bookmarkStart w:id="18" w:name="h18"/>
      <w:r>
        <w:t>7.11 CP 11 Compartir comprobante</w:t>
      </w:r>
      <w:bookmarkEnd w:id="18"/>
    </w:p>
    <w:p>
      <w:r>
        <w:t>Módulo. Ticket.</w:t>
      </w:r>
    </w:p>
    <w:p>
      <w:r>
        <w:t>Procedimiento de la fuente. Confirmar venta y presionar compartir.</w:t>
      </w:r>
    </w:p>
    <w:p>
      <w:r>
        <w:t>Resultado esperado. En móvil se abre menú nativo o se copia texto.</w:t>
      </w:r>
    </w:p>
    <w:p>
      <w:r>
        <w:t>Estado registrado. Pendiente evidencia.</w:t>
      </w:r>
    </w:p>
    <w:p>
      <w:pPr>
        <w:pStyle w:val="Heading3"/>
      </w:pPr>
      <w:bookmarkStart w:id="19" w:name="h19"/>
      <w:r>
        <w:t>7.12 CP 12 Crear cliente</w:t>
      </w:r>
      <w:bookmarkEnd w:id="19"/>
    </w:p>
    <w:p>
      <w:r>
        <w:t>Módulo. Clientes.</w:t>
      </w:r>
    </w:p>
    <w:p>
      <w:r>
        <w:t>Procedimiento de la fuente. Ir a Fiado, ingresar nombre y contacto.</w:t>
      </w:r>
    </w:p>
    <w:p>
      <w:r>
        <w:t>Resultado esperado. Cliente aparece en cuentas por cobrar.</w:t>
      </w:r>
    </w:p>
    <w:p>
      <w:r>
        <w:t>Estado registrado. Pendiente evidencia.</w:t>
      </w:r>
    </w:p>
    <w:p>
      <w:pPr>
        <w:pStyle w:val="Heading3"/>
      </w:pPr>
      <w:bookmarkStart w:id="20" w:name="h20"/>
      <w:r>
        <w:t>7.13 CP 13 Editar cliente</w:t>
      </w:r>
      <w:bookmarkEnd w:id="20"/>
    </w:p>
    <w:p>
      <w:r>
        <w:t>Módulo. Clientes.</w:t>
      </w:r>
    </w:p>
    <w:p>
      <w:r>
        <w:t>Procedimiento de la fuente. Seleccionar editar, cambiar teléfono y guardar.</w:t>
      </w:r>
    </w:p>
    <w:p>
      <w:r>
        <w:t>Resultado esperado. Cliente refleja el nuevo dato.</w:t>
      </w:r>
    </w:p>
    <w:p>
      <w:r>
        <w:t>Estado registrado. Pendiente evidencia.</w:t>
      </w:r>
    </w:p>
    <w:p>
      <w:pPr>
        <w:pStyle w:val="Heading3"/>
      </w:pPr>
      <w:bookmarkStart w:id="21" w:name="h21"/>
      <w:r>
        <w:t>7.14 CP 14 Registrar abono</w:t>
      </w:r>
      <w:bookmarkEnd w:id="21"/>
    </w:p>
    <w:p>
      <w:r>
        <w:t>Módulo. Clientes.</w:t>
      </w:r>
    </w:p>
    <w:p>
      <w:r>
        <w:t>Procedimiento de la fuente. Ingresar monto y presionar abono.</w:t>
      </w:r>
    </w:p>
    <w:p>
      <w:r>
        <w:t>Resultado esperado. Deuda disminuye.</w:t>
      </w:r>
    </w:p>
    <w:p>
      <w:r>
        <w:t>Estado registrado. Pendiente evidencia.</w:t>
      </w:r>
    </w:p>
    <w:p>
      <w:pPr>
        <w:pStyle w:val="Heading3"/>
      </w:pPr>
      <w:bookmarkStart w:id="22" w:name="h22"/>
      <w:r>
        <w:t>7.15 CP 15 Reconocer una fotografía</w:t>
      </w:r>
      <w:bookmarkEnd w:id="22"/>
    </w:p>
    <w:p>
      <w:r>
        <w:t>Módulo. Venta Rápida.</w:t>
      </w:r>
    </w:p>
    <w:p>
      <w:r>
        <w:t>Procedimiento de la fuente. Fotografiar uno o más productos desde Venta Rápida.</w:t>
      </w:r>
    </w:p>
    <w:p>
      <w:r>
        <w:t>Resultado esperado. Propone productos y cantidades usando exclusivamente el catálogo del negocio.</w:t>
      </w:r>
    </w:p>
    <w:p>
      <w:r>
        <w:t>Estado registrado. Normalización automatizada aprobada; visual pendiente.</w:t>
      </w:r>
    </w:p>
    <w:p>
      <w:pPr>
        <w:pStyle w:val="Heading3"/>
      </w:pPr>
      <w:bookmarkStart w:id="23" w:name="h23"/>
      <w:r>
        <w:t>7.16 CP 16 Reconocer por código</w:t>
      </w:r>
      <w:bookmarkEnd w:id="23"/>
    </w:p>
    <w:p>
      <w:r>
        <w:t>Módulo. Código de barras.</w:t>
      </w:r>
    </w:p>
    <w:p>
      <w:r>
        <w:t xml:space="preserve">Procedimiento de la fuente. Crear producto con código real, abrir </w:t>
      </w:r>
      <w:r>
        <w:rPr>
          <w:b/>
        </w:rPr>
        <w:t>Venta Rápida → Vender con código de barras</w:t>
      </w:r>
      <w:r>
        <w:t xml:space="preserve"> y leer o ingresar </w:t>
      </w:r>
      <w:r>
        <w:rPr>
          <w:rFonts w:ascii="DejaVu Sans Mono" w:hAnsi="DejaVu Sans Mono"/>
          <w:sz w:val="18"/>
        </w:rPr>
        <w:t>7801610001347</w:t>
      </w:r>
      <w:r>
        <w:t>.</w:t>
      </w:r>
    </w:p>
    <w:p>
      <w:r>
        <w:t>Resultado esperado. Localito encuentra el producto exacto sin depender del análisis visual.</w:t>
      </w:r>
    </w:p>
    <w:p>
      <w:r>
        <w:t>Estado registrado. Pendiente evidencia.</w:t>
      </w:r>
    </w:p>
    <w:p>
      <w:pPr>
        <w:pStyle w:val="Heading3"/>
      </w:pPr>
      <w:bookmarkStart w:id="24" w:name="h24"/>
      <w:r>
        <w:t>7.17 CP 17 Corregir propuesta</w:t>
      </w:r>
      <w:bookmarkEnd w:id="24"/>
    </w:p>
    <w:p>
      <w:r>
        <w:t>Módulo. Venta Rápida.</w:t>
      </w:r>
    </w:p>
    <w:p>
      <w:r>
        <w:t>Procedimiento de la fuente. Cambiar cantidad, reemplazar un producto ambiguo y eliminar otro.</w:t>
      </w:r>
    </w:p>
    <w:p>
      <w:r>
        <w:t>Resultado esperado. El total se recalcula con precios del inventario y la propuesta queda bajo control del vendedor.</w:t>
      </w:r>
    </w:p>
    <w:p>
      <w:r>
        <w:t>Estado registrado. Pendiente evidencia.</w:t>
      </w:r>
    </w:p>
    <w:p>
      <w:pPr>
        <w:pStyle w:val="Heading3"/>
      </w:pPr>
      <w:bookmarkStart w:id="25" w:name="h25"/>
      <w:r>
        <w:t>7.18 CP 18 Caja en vivo</w:t>
      </w:r>
      <w:bookmarkEnd w:id="25"/>
    </w:p>
    <w:p>
      <w:r>
        <w:t>Módulo. Caja.</w:t>
      </w:r>
    </w:p>
    <w:p>
      <w:r>
        <w:t>Procedimiento de la fuente. Ir a Reportes.</w:t>
      </w:r>
    </w:p>
    <w:p>
      <w:r>
        <w:t>Resultado esperado. Muestra efectivo, tarjeta, transferencia, fiado, total y anuladas.</w:t>
      </w:r>
    </w:p>
    <w:p>
      <w:r>
        <w:t>Estado registrado. Pendiente evidencia.</w:t>
      </w:r>
    </w:p>
    <w:p>
      <w:pPr>
        <w:pStyle w:val="Heading3"/>
      </w:pPr>
      <w:bookmarkStart w:id="26" w:name="h26"/>
      <w:r>
        <w:t>7.19 CP 19 Cierre manual</w:t>
      </w:r>
      <w:bookmarkEnd w:id="26"/>
    </w:p>
    <w:p>
      <w:r>
        <w:t>Módulo. Caja.</w:t>
      </w:r>
    </w:p>
    <w:p>
      <w:r>
        <w:t>Procedimiento de la fuente. Escribir observacion y presionar Cerrar caja.</w:t>
      </w:r>
    </w:p>
    <w:p>
      <w:r>
        <w:t>Resultado esperado. Se guarda un cierre con totales, usuario, fecha/hora y observacion.</w:t>
      </w:r>
    </w:p>
    <w:p>
      <w:r>
        <w:t>Estado registrado. Pendiente evidencia.</w:t>
      </w:r>
    </w:p>
    <w:p>
      <w:pPr>
        <w:pStyle w:val="Heading3"/>
      </w:pPr>
      <w:bookmarkStart w:id="27" w:name="h27"/>
      <w:r>
        <w:t>7.20 CP 20 Crear usuario interno</w:t>
      </w:r>
      <w:bookmarkEnd w:id="27"/>
    </w:p>
    <w:p>
      <w:r>
        <w:t>Módulo. Usuarios.</w:t>
      </w:r>
    </w:p>
    <w:p>
      <w:r>
        <w:t>Procedimiento de la fuente. Ir a Configuración, crear vendedor.</w:t>
      </w:r>
    </w:p>
    <w:p>
      <w:r>
        <w:t>Resultado esperado. Usuario aparece en lista de usuarios activos.</w:t>
      </w:r>
    </w:p>
    <w:p>
      <w:r>
        <w:t>Estado registrado. Pendiente evidencia.</w:t>
      </w:r>
    </w:p>
    <w:p>
      <w:pPr>
        <w:pStyle w:val="Heading3"/>
      </w:pPr>
      <w:bookmarkStart w:id="28" w:name="h28"/>
      <w:r>
        <w:t>7.21 CP 21 Desactivar usuario</w:t>
      </w:r>
      <w:bookmarkEnd w:id="28"/>
    </w:p>
    <w:p>
      <w:r>
        <w:t>Módulo. Usuarios.</w:t>
      </w:r>
    </w:p>
    <w:p>
      <w:r>
        <w:t>Procedimiento de la fuente. Desactivar usuario creado.</w:t>
      </w:r>
    </w:p>
    <w:p>
      <w:r>
        <w:t>Resultado esperado. Usuario deja de aparecer como activo.</w:t>
      </w:r>
    </w:p>
    <w:p>
      <w:r>
        <w:t>Estado registrado. Pendiente evidencia.</w:t>
      </w:r>
    </w:p>
    <w:p>
      <w:pPr>
        <w:pStyle w:val="Heading3"/>
      </w:pPr>
      <w:bookmarkStart w:id="29" w:name="h29"/>
      <w:r>
        <w:t>7.22 CP 22 Uso desde iPhone</w:t>
      </w:r>
      <w:bookmarkEnd w:id="29"/>
    </w:p>
    <w:p>
      <w:r>
        <w:t>Módulo. Mobile.</w:t>
      </w:r>
    </w:p>
    <w:p>
      <w:r>
        <w:t xml:space="preserve">Procedimiento de la fuente. Abrir </w:t>
      </w:r>
      <w:r>
        <w:rPr>
          <w:rFonts w:ascii="DejaVu Sans Mono" w:hAnsi="DejaVu Sans Mono"/>
          <w:sz w:val="18"/>
        </w:rPr>
        <w:t>http://IP-DEL-PC:5174</w:t>
      </w:r>
      <w:r>
        <w:t>.</w:t>
      </w:r>
    </w:p>
    <w:p>
      <w:r>
        <w:t>Resultado esperado. PWA carga y consume API del PC mediante el proxy local.</w:t>
      </w:r>
    </w:p>
    <w:p>
      <w:r>
        <w:t>Estado registrado. Pendiente evidencia.</w:t>
      </w:r>
    </w:p>
    <w:p>
      <w:pPr>
        <w:pStyle w:val="Heading3"/>
      </w:pPr>
      <w:bookmarkStart w:id="30" w:name="h30"/>
      <w:r>
        <w:t>7.23 CP 23 Instalabilidad</w:t>
      </w:r>
      <w:bookmarkEnd w:id="30"/>
    </w:p>
    <w:p>
      <w:r>
        <w:t>Módulo. PWA.</w:t>
      </w:r>
    </w:p>
    <w:p>
      <w:r>
        <w:t>Procedimiento de la fuente. Abrir con HTTPS o entorno compatible y agregar a inicio.</w:t>
      </w:r>
    </w:p>
    <w:p>
      <w:r>
        <w:t>Resultado esperado. App se comporta como PWA instalable.</w:t>
      </w:r>
    </w:p>
    <w:p>
      <w:r>
        <w:t>Estado registrado. Pendiente evidencia.</w:t>
      </w:r>
    </w:p>
    <w:p>
      <w:pPr>
        <w:pStyle w:val="Heading3"/>
      </w:pPr>
      <w:bookmarkStart w:id="31" w:name="h31"/>
      <w:r>
        <w:t>7.24 CP 24 Vendedor sin reportes completos</w:t>
      </w:r>
      <w:bookmarkEnd w:id="31"/>
    </w:p>
    <w:p>
      <w:r>
        <w:t>Módulo. Permisos.</w:t>
      </w:r>
    </w:p>
    <w:p>
      <w:r>
        <w:t>Procedimiento de la fuente. Iniciar como vendedor y entrar a Caja.</w:t>
      </w:r>
    </w:p>
    <w:p>
      <w:r>
        <w:t>Resultado esperado. Solo ve caja en vivo, cierre y ultimos cierres.</w:t>
      </w:r>
    </w:p>
    <w:p>
      <w:r>
        <w:t>Estado registrado. Pendiente evidencia.</w:t>
      </w:r>
    </w:p>
    <w:p>
      <w:pPr>
        <w:pStyle w:val="Heading3"/>
      </w:pPr>
      <w:bookmarkStart w:id="32" w:name="h32"/>
      <w:r>
        <w:t>7.25 CP 25 Vendedor sin administracion de productos</w:t>
      </w:r>
      <w:bookmarkEnd w:id="32"/>
    </w:p>
    <w:p>
      <w:r>
        <w:t>Módulo. Permisos.</w:t>
      </w:r>
    </w:p>
    <w:p>
      <w:r>
        <w:t>Procedimiento de la fuente. Iniciar como vendedor y entrar a Stock.</w:t>
      </w:r>
    </w:p>
    <w:p>
      <w:r>
        <w:t>Resultado esperado. Ve inventario solo lectura, sin crear, editar, ajustar o desactivar.</w:t>
      </w:r>
    </w:p>
    <w:p>
      <w:r>
        <w:t>Estado registrado. Pendiente evidencia.</w:t>
      </w:r>
    </w:p>
    <w:p>
      <w:pPr>
        <w:pStyle w:val="Heading3"/>
      </w:pPr>
      <w:bookmarkStart w:id="33" w:name="h33"/>
      <w:r>
        <w:t>7.26 CP 26 API rechaza acción administrativa</w:t>
      </w:r>
      <w:bookmarkEnd w:id="33"/>
    </w:p>
    <w:p>
      <w:r>
        <w:t>Módulo. Permisos.</w:t>
      </w:r>
    </w:p>
    <w:p>
      <w:r>
        <w:t>Procedimiento de la fuente. Llamar endpoint admin con token de vendedor.</w:t>
      </w:r>
    </w:p>
    <w:p>
      <w:r>
        <w:t>Resultado esperado. API responde 403 sin ejecutar acción.</w:t>
      </w:r>
    </w:p>
    <w:p>
      <w:r>
        <w:t>Estado registrado. Pendiente evidencia.</w:t>
      </w:r>
    </w:p>
    <w:p>
      <w:pPr>
        <w:pStyle w:val="Heading3"/>
      </w:pPr>
      <w:bookmarkStart w:id="34" w:name="h34"/>
      <w:r>
        <w:t>7.27 CP 27 Editar perfil propio</w:t>
      </w:r>
      <w:bookmarkEnd w:id="34"/>
    </w:p>
    <w:p>
      <w:r>
        <w:t>Módulo. Perfil.</w:t>
      </w:r>
    </w:p>
    <w:p>
      <w:r>
        <w:t>Procedimiento de la fuente. Iniciar como vendedor o dueño, entrar a Mi perfil/Configuración, cambiar nombre o correo y guardar.</w:t>
      </w:r>
    </w:p>
    <w:p>
      <w:r>
        <w:t>Resultado esperado. El perfil se actualiza sin cambiar rol ni permisos.</w:t>
      </w:r>
    </w:p>
    <w:p>
      <w:r>
        <w:t>Estado registrado. Pendiente evidencia.</w:t>
      </w:r>
    </w:p>
    <w:p>
      <w:pPr>
        <w:pStyle w:val="Heading3"/>
      </w:pPr>
      <w:bookmarkStart w:id="35" w:name="h35"/>
      <w:r>
        <w:t>7.28 CP 28 Vendedor no administra usuarios</w:t>
      </w:r>
      <w:bookmarkEnd w:id="35"/>
    </w:p>
    <w:p>
      <w:r>
        <w:t>Módulo. Usuarios.</w:t>
      </w:r>
    </w:p>
    <w:p>
      <w:r>
        <w:t>Procedimiento de la fuente. Iniciar como vendedor y entrar a Mi perfil.</w:t>
      </w:r>
    </w:p>
    <w:p>
      <w:r>
        <w:t>Resultado esperado. No aparece el formulario de crear usuarios ni la lista administrativa.</w:t>
      </w:r>
    </w:p>
    <w:p>
      <w:r>
        <w:t>Estado registrado. Pendiente evidencia.</w:t>
      </w:r>
    </w:p>
    <w:p>
      <w:pPr>
        <w:pStyle w:val="Heading3"/>
      </w:pPr>
      <w:bookmarkStart w:id="36" w:name="h36"/>
      <w:r>
        <w:t>7.29 CP 29 Compartir simulación</w:t>
      </w:r>
      <w:bookmarkEnd w:id="36"/>
    </w:p>
    <w:p>
      <w:r>
        <w:t>Módulo. Simulación Webpay fiado.</w:t>
      </w:r>
    </w:p>
    <w:p>
      <w:r>
        <w:t>Procedimiento de la fuente. Entrar a Fiado, presionar Simular cobro en cliente con deuda.</w:t>
      </w:r>
    </w:p>
    <w:p>
      <w:r>
        <w:t>Resultado esperado. Se genera una tarjeta de demostración con enlace, compartir, WhatsApp y copiar; no se envía dinero.</w:t>
      </w:r>
    </w:p>
    <w:p>
      <w:r>
        <w:t>Estado registrado. Pendiente evidencia.</w:t>
      </w:r>
    </w:p>
    <w:p>
      <w:pPr>
        <w:pStyle w:val="Heading3"/>
      </w:pPr>
      <w:bookmarkStart w:id="37" w:name="h37"/>
      <w:r>
        <w:t>7.30 CP 30 Confirmar simulación</w:t>
      </w:r>
      <w:bookmarkEnd w:id="37"/>
    </w:p>
    <w:p>
      <w:r>
        <w:t>Módulo. Simulación Webpay fiado.</w:t>
      </w:r>
    </w:p>
    <w:p>
      <w:r>
        <w:t>Procedimiento de la fuente. Generar la simulación y presionar Confirmar simulación.</w:t>
      </w:r>
    </w:p>
    <w:p>
      <w:r>
        <w:t>Resultado esperado. La deuda disminuye por el monto de prueba, sin consultar ni cobrar mediante Transbank.</w:t>
      </w:r>
    </w:p>
    <w:p>
      <w:r>
        <w:t>Estado registrado. Pendiente evidencia.</w:t>
      </w:r>
    </w:p>
    <w:p>
      <w:pPr>
        <w:pStyle w:val="Heading3"/>
      </w:pPr>
      <w:bookmarkStart w:id="38" w:name="h38"/>
      <w:r>
        <w:t>7.31 CP 31 Crear negocio</w:t>
      </w:r>
      <w:bookmarkEnd w:id="38"/>
    </w:p>
    <w:p>
      <w:r>
        <w:t>Módulo. Administración.</w:t>
      </w:r>
    </w:p>
    <w:p>
      <w:r>
        <w:t>Procedimiento de la fuente. Registrar negocio, dueño y clave desde Crear cuenta o como administrador.</w:t>
      </w:r>
    </w:p>
    <w:p>
      <w:r>
        <w:t>Resultado esperado. Se crea un tenant aislado y una prueba Pro de 30 días.</w:t>
      </w:r>
    </w:p>
    <w:p>
      <w:r>
        <w:t>Estado registrado. Pendiente evidencia.</w:t>
      </w:r>
    </w:p>
    <w:p>
      <w:pPr>
        <w:pStyle w:val="Heading3"/>
      </w:pPr>
      <w:bookmarkStart w:id="39" w:name="h39"/>
      <w:r>
        <w:t>7.32 CP 32 Cerrar sesión</w:t>
      </w:r>
      <w:bookmarkEnd w:id="39"/>
    </w:p>
    <w:p>
      <w:r>
        <w:t>Módulo. Seguridad.</w:t>
      </w:r>
    </w:p>
    <w:p>
      <w:r>
        <w:t>Procedimiento de la fuente. Cerrar sesión y reutilizar el token anterior.</w:t>
      </w:r>
    </w:p>
    <w:p>
      <w:r>
        <w:t>Resultado esperado. El token queda revocado y la API responde 401.</w:t>
      </w:r>
    </w:p>
    <w:p>
      <w:r>
        <w:t>Estado registrado. Pendiente evidencia.</w:t>
      </w:r>
    </w:p>
    <w:p>
      <w:pPr>
        <w:pStyle w:val="Heading3"/>
      </w:pPr>
      <w:bookmarkStart w:id="40" w:name="h40"/>
      <w:r>
        <w:t>7.33 CP 33 Intentar cambiar negocio por cabecera</w:t>
      </w:r>
      <w:bookmarkEnd w:id="40"/>
    </w:p>
    <w:p>
      <w:r>
        <w:t>Módulo. Multi-tenant.</w:t>
      </w:r>
    </w:p>
    <w:p>
      <w:r>
        <w:t xml:space="preserve">Procedimiento de la fuente. Enviar una cabecera </w:t>
      </w:r>
      <w:r>
        <w:rPr>
          <w:rFonts w:ascii="DejaVu Sans Mono" w:hAnsi="DejaVu Sans Mono"/>
          <w:sz w:val="18"/>
        </w:rPr>
        <w:t>x-tenant-id</w:t>
      </w:r>
      <w:r>
        <w:t xml:space="preserve"> distinta con un token válido.</w:t>
      </w:r>
    </w:p>
    <w:p>
      <w:r>
        <w:t>Resultado esperado. La API ignora la cabecera y deriva el negocio desde la sesión.</w:t>
      </w:r>
    </w:p>
    <w:p>
      <w:r>
        <w:t>Estado registrado. Pendiente evidencia.</w:t>
      </w:r>
    </w:p>
    <w:p>
      <w:pPr>
        <w:pStyle w:val="Heading3"/>
      </w:pPr>
      <w:bookmarkStart w:id="41" w:name="h41"/>
      <w:r>
        <w:t>7.34 CP 34 Pago dividido</w:t>
      </w:r>
      <w:bookmarkEnd w:id="41"/>
    </w:p>
    <w:p>
      <w:r>
        <w:t>Módulo. Ventas.</w:t>
      </w:r>
    </w:p>
    <w:p>
      <w:r>
        <w:t>Procedimiento de la fuente. Vender usando efectivo y tarjeta por montos que sumen el total.</w:t>
      </w:r>
    </w:p>
    <w:p>
      <w:r>
        <w:t>Resultado esperado. La venta queda con metodo mixto y caja separa ambos montos.</w:t>
      </w:r>
    </w:p>
    <w:p>
      <w:r>
        <w:t>Estado registrado. Pendiente evidencia.</w:t>
      </w:r>
    </w:p>
    <w:p>
      <w:pPr>
        <w:pStyle w:val="Heading3"/>
      </w:pPr>
      <w:bookmarkStart w:id="42" w:name="h42"/>
      <w:r>
        <w:t>7.35 CP 35 Reintento idempotente</w:t>
      </w:r>
      <w:bookmarkEnd w:id="42"/>
    </w:p>
    <w:p>
      <w:r>
        <w:t>Módulo. Ventas.</w:t>
      </w:r>
    </w:p>
    <w:p>
      <w:r>
        <w:t>Procedimiento de la fuente. Repetir una venta con la misma clave de idempotencia.</w:t>
      </w:r>
    </w:p>
    <w:p>
      <w:r>
        <w:t>Resultado esperado. Se devuelve la misma venta y el stock baja una sola vez.</w:t>
      </w:r>
    </w:p>
    <w:p>
      <w:r>
        <w:t>Estado registrado. Automatizada aprobada.</w:t>
      </w:r>
    </w:p>
    <w:p>
      <w:pPr>
        <w:pStyle w:val="Heading3"/>
      </w:pPr>
      <w:bookmarkStart w:id="43" w:name="h43"/>
      <w:r>
        <w:t>7.36 CP 36 Devolución parcial</w:t>
      </w:r>
      <w:bookmarkEnd w:id="43"/>
    </w:p>
    <w:p>
      <w:r>
        <w:t>Módulo. Devoluciones.</w:t>
      </w:r>
    </w:p>
    <w:p>
      <w:r>
        <w:t>Procedimiento de la fuente. Devolver una unidad de una venta de varias unidades.</w:t>
      </w:r>
    </w:p>
    <w:p>
      <w:r>
        <w:t>Resultado esperado. Se repone solo esa unidad y se ajustan venta neta y deuda.</w:t>
      </w:r>
    </w:p>
    <w:p>
      <w:r>
        <w:t>Estado registrado. Automatizada aprobada.</w:t>
      </w:r>
    </w:p>
    <w:p>
      <w:pPr>
        <w:pStyle w:val="Heading3"/>
      </w:pPr>
      <w:bookmarkStart w:id="44" w:name="h44"/>
      <w:r>
        <w:t>7.37 CP 37 Evitar doble reposicion</w:t>
      </w:r>
      <w:bookmarkEnd w:id="44"/>
    </w:p>
    <w:p>
      <w:r>
        <w:t>Módulo. Devoluciones.</w:t>
      </w:r>
    </w:p>
    <w:p>
      <w:r>
        <w:t>Procedimiento de la fuente. Devolver parcialmente y luego anular la venta.</w:t>
      </w:r>
    </w:p>
    <w:p>
      <w:r>
        <w:t>Resultado esperado. Solo se repone la cantidad restante.</w:t>
      </w:r>
    </w:p>
    <w:p>
      <w:r>
        <w:t>Estado registrado. Automatizada aprobada.</w:t>
      </w:r>
    </w:p>
    <w:p>
      <w:pPr>
        <w:pStyle w:val="Heading3"/>
      </w:pPr>
      <w:bookmarkStart w:id="45" w:name="h45"/>
      <w:r>
        <w:t>7.38 CP 38 Aplicar limite de fiado</w:t>
      </w:r>
      <w:bookmarkEnd w:id="45"/>
    </w:p>
    <w:p>
      <w:r>
        <w:t>Módulo. Credito.</w:t>
      </w:r>
    </w:p>
    <w:p>
      <w:r>
        <w:t>Procedimiento de la fuente. Superar el cupo configurado del cliente.</w:t>
      </w:r>
    </w:p>
    <w:p>
      <w:r>
        <w:t>Resultado esperado. La API rechaza la venta sin descontar stock.</w:t>
      </w:r>
    </w:p>
    <w:p>
      <w:r>
        <w:t>Estado registrado. Automatizada aprobada.</w:t>
      </w:r>
    </w:p>
    <w:p>
      <w:pPr>
        <w:pStyle w:val="Heading3"/>
      </w:pPr>
      <w:bookmarkStart w:id="46" w:name="h46"/>
      <w:r>
        <w:t>7.39 CP 39 Apertura y cierre de turno</w:t>
      </w:r>
      <w:bookmarkEnd w:id="46"/>
    </w:p>
    <w:p>
      <w:r>
        <w:t>Módulo. Caja.</w:t>
      </w:r>
    </w:p>
    <w:p>
      <w:r>
        <w:t>Procedimiento de la fuente. Abrir con fondo inicial, registrar gasto, contar y cerrar.</w:t>
      </w:r>
    </w:p>
    <w:p>
      <w:r>
        <w:t>Resultado esperado. Se informa efectivo esperado y diferencia.</w:t>
      </w:r>
    </w:p>
    <w:p>
      <w:r>
        <w:t>Estado registrado. Automatizada aprobada.</w:t>
      </w:r>
    </w:p>
    <w:p>
      <w:pPr>
        <w:pStyle w:val="Heading3"/>
      </w:pPr>
      <w:bookmarkStart w:id="47" w:name="h47"/>
      <w:r>
        <w:t>7.40 CP 40 Segundo turno del dia</w:t>
      </w:r>
      <w:bookmarkEnd w:id="47"/>
    </w:p>
    <w:p>
      <w:r>
        <w:t>Módulo. Caja.</w:t>
      </w:r>
    </w:p>
    <w:p>
      <w:r>
        <w:t>Procedimiento de la fuente. Cerrar un turno y abrir otro el mismo dia.</w:t>
      </w:r>
    </w:p>
    <w:p>
      <w:r>
        <w:t>Resultado esperado. El segundo turno no vuelve a sumar ventas del primero.</w:t>
      </w:r>
    </w:p>
    <w:p>
      <w:r>
        <w:t>Estado registrado. Pendiente evidencia.</w:t>
      </w:r>
    </w:p>
    <w:p>
      <w:pPr>
        <w:pStyle w:val="Heading3"/>
      </w:pPr>
      <w:bookmarkStart w:id="48" w:name="h48"/>
      <w:r>
        <w:t>7.41 CP 41 Recibir orden</w:t>
      </w:r>
      <w:bookmarkEnd w:id="48"/>
    </w:p>
    <w:p>
      <w:r>
        <w:t>Módulo. Compras.</w:t>
      </w:r>
    </w:p>
    <w:p>
      <w:r>
        <w:t>Procedimiento de la fuente. Crear proveedor y orden, luego recibir mercaderia.</w:t>
      </w:r>
    </w:p>
    <w:p>
      <w:r>
        <w:t>Resultado esperado. Aumenta stock, registra kardex y recalcula costo promedio.</w:t>
      </w:r>
    </w:p>
    <w:p>
      <w:r>
        <w:t>Estado registrado. Automatizada aprobada.</w:t>
      </w:r>
    </w:p>
    <w:p>
      <w:pPr>
        <w:pStyle w:val="Heading3"/>
      </w:pPr>
      <w:bookmarkStart w:id="49" w:name="h49"/>
      <w:r>
        <w:t>7.42 CP 42 Alerta de vencimiento</w:t>
      </w:r>
      <w:bookmarkEnd w:id="49"/>
    </w:p>
    <w:p>
      <w:r>
        <w:t>Módulo. Inventario.</w:t>
      </w:r>
    </w:p>
    <w:p>
      <w:r>
        <w:t>Procedimiento de la fuente. Asignar vencimiento dentro de 30 dias.</w:t>
      </w:r>
    </w:p>
    <w:p>
      <w:r>
        <w:t>Resultado esperado. Gestion muestra alerta del producto.</w:t>
      </w:r>
    </w:p>
    <w:p>
      <w:r>
        <w:t>Estado registrado. Pendiente evidencia.</w:t>
      </w:r>
    </w:p>
    <w:p>
      <w:pPr>
        <w:pStyle w:val="Heading3"/>
      </w:pPr>
      <w:bookmarkStart w:id="50" w:name="h50"/>
      <w:r>
        <w:t>7.43 CP 43 Importar y exportar CSV</w:t>
      </w:r>
      <w:bookmarkEnd w:id="50"/>
    </w:p>
    <w:p>
      <w:r>
        <w:t>Módulo. Datos.</w:t>
      </w:r>
    </w:p>
    <w:p>
      <w:r>
        <w:t>Procedimiento de la fuente. Exportar catálogo e importar un archivo válido.</w:t>
      </w:r>
    </w:p>
    <w:p>
      <w:r>
        <w:t>Resultado esperado. Se descarga CSV y se crean filas validas.</w:t>
      </w:r>
    </w:p>
    <w:p>
      <w:r>
        <w:t>Estado registrado. Pendiente evidencia.</w:t>
      </w:r>
    </w:p>
    <w:p>
      <w:pPr>
        <w:pStyle w:val="Heading3"/>
      </w:pPr>
      <w:bookmarkStart w:id="51" w:name="h51"/>
      <w:r>
        <w:t>7.44 CP 44 Venta sin conexión</w:t>
      </w:r>
      <w:bookmarkEnd w:id="51"/>
    </w:p>
    <w:p>
      <w:r>
        <w:t>Módulo. Offline.</w:t>
      </w:r>
    </w:p>
    <w:p>
      <w:r>
        <w:t>Procedimiento de la fuente. Perder red al confirmar, recargar con API caída y recuperarla.</w:t>
      </w:r>
    </w:p>
    <w:p>
      <w:r>
        <w:t>Resultado esperado. Cola por cuenta y catálogo guardado; venta se sincroniza una vez.</w:t>
      </w:r>
    </w:p>
    <w:p>
      <w:r>
        <w:t xml:space="preserve">Estado registrado. Automatizada en navegador local aprobada: </w:t>
      </w:r>
      <w:r>
        <w:rPr>
          <w:rFonts w:ascii="DejaVu Sans Mono" w:hAnsi="DejaVu Sans Mono"/>
          <w:sz w:val="18"/>
        </w:rPr>
        <w:t>test-improvements.cjs</w:t>
      </w:r>
      <w:r>
        <w:t>.</w:t>
      </w:r>
    </w:p>
    <w:p>
      <w:pPr>
        <w:pStyle w:val="Heading3"/>
      </w:pPr>
      <w:bookmarkStart w:id="52" w:name="h52"/>
      <w:r>
        <w:t>7.45 CP 45 Reconocer envase</w:t>
      </w:r>
      <w:bookmarkEnd w:id="52"/>
    </w:p>
    <w:p>
      <w:r>
        <w:t>Módulo. Vision.</w:t>
      </w:r>
    </w:p>
    <w:p>
      <w:r>
        <w:t xml:space="preserve">Procedimiento de la fuente. Configurar </w:t>
      </w:r>
      <w:r>
        <w:rPr>
          <w:rFonts w:ascii="DejaVu Sans Mono" w:hAnsi="DejaVu Sans Mono"/>
          <w:sz w:val="18"/>
        </w:rPr>
        <w:t>GROQ_API_KEY</w:t>
      </w:r>
      <w:r>
        <w:t xml:space="preserve"> (o </w:t>
      </w:r>
      <w:r>
        <w:rPr>
          <w:rFonts w:ascii="DejaVu Sans Mono" w:hAnsi="DejaVu Sans Mono"/>
          <w:sz w:val="18"/>
        </w:rPr>
        <w:t>OPENAI_API_KEY</w:t>
      </w:r>
      <w:r>
        <w:t>), fotografiar un producto catalogado.</w:t>
      </w:r>
    </w:p>
    <w:p>
      <w:r>
        <w:t>Resultado esperado. La API propone coincidencia con confianza y permite corregir.</w:t>
      </w:r>
    </w:p>
    <w:p>
      <w:r>
        <w:t>Estado registrado. Pendiente evidencia.</w:t>
      </w:r>
    </w:p>
    <w:p>
      <w:pPr>
        <w:pStyle w:val="Heading3"/>
      </w:pPr>
      <w:bookmarkStart w:id="53" w:name="h53"/>
      <w:r>
        <w:t>7.46 CP 46 Recuperar contraseña</w:t>
      </w:r>
      <w:bookmarkEnd w:id="53"/>
    </w:p>
    <w:p>
      <w:r>
        <w:t>Módulo. Seguridad.</w:t>
      </w:r>
    </w:p>
    <w:p>
      <w:r>
        <w:t>Procedimiento de la fuente. Solicitar el enlace, cambiar la clave y volver a usar el enlace.</w:t>
      </w:r>
    </w:p>
    <w:p>
      <w:r>
        <w:t>Resultado esperado. La nueva clave funciona, sesiones anteriores quedan revocadas y el enlace no puede reutilizarse.</w:t>
      </w:r>
    </w:p>
    <w:p>
      <w:r>
        <w:t>Estado registrado. Automatizada aprobada.</w:t>
      </w:r>
    </w:p>
    <w:p>
      <w:pPr>
        <w:pStyle w:val="Heading3"/>
      </w:pPr>
      <w:bookmarkStart w:id="54" w:name="h54"/>
      <w:r>
        <w:t>7.47 CP 47 Extraer factura</w:t>
      </w:r>
      <w:bookmarkEnd w:id="54"/>
    </w:p>
    <w:p>
      <w:r>
        <w:t>Módulo. Factura IA.</w:t>
      </w:r>
    </w:p>
    <w:p>
      <w:r>
        <w:t>Procedimiento de la fuente. Fotografiar una factura legible desde Negocio.</w:t>
      </w:r>
    </w:p>
    <w:p>
      <w:r>
        <w:t>Resultado esperado. Propone proveedor, folio, fecha, totales y líneas con confianza y advertencias.</w:t>
      </w:r>
    </w:p>
    <w:p>
      <w:r>
        <w:t>Estado registrado. Esquema automatizado aprobado; visual aprobado.</w:t>
      </w:r>
    </w:p>
    <w:p>
      <w:pPr>
        <w:pStyle w:val="Heading3"/>
      </w:pPr>
      <w:bookmarkStart w:id="55" w:name="h55"/>
      <w:r>
        <w:t>7.48 CP 48 Reutilizar catálogo</w:t>
      </w:r>
      <w:bookmarkEnd w:id="55"/>
    </w:p>
    <w:p>
      <w:r>
        <w:t>Módulo. Factura IA.</w:t>
      </w:r>
    </w:p>
    <w:p>
      <w:r>
        <w:t>Procedimiento de la fuente. Leer una línea cuyo código o nombre corresponde a un producto activo.</w:t>
      </w:r>
    </w:p>
    <w:p>
      <w:r>
        <w:t>Resultado esperado. La línea queda marcada En inventario y no crea otro producto.</w:t>
      </w:r>
    </w:p>
    <w:p>
      <w:r>
        <w:t>Estado registrado. Automatizada aprobada.</w:t>
      </w:r>
    </w:p>
    <w:p>
      <w:pPr>
        <w:pStyle w:val="Heading3"/>
      </w:pPr>
      <w:bookmarkStart w:id="56" w:name="h56"/>
      <w:r>
        <w:t>7.49 CP 49 Crear producto faltante</w:t>
      </w:r>
      <w:bookmarkEnd w:id="56"/>
    </w:p>
    <w:p>
      <w:r>
        <w:t>Módulo. Factura IA.</w:t>
      </w:r>
    </w:p>
    <w:p>
      <w:r>
        <w:t>Procedimiento de la fuente. Confirmar una línea marcada Producto nuevo con nombre, categoría y precio de venta.</w:t>
      </w:r>
    </w:p>
    <w:p>
      <w:r>
        <w:t>Resultado esperado. Crea el producto y lo recibe con el stock y costo confirmados.</w:t>
      </w:r>
    </w:p>
    <w:p>
      <w:r>
        <w:t>Estado registrado. Automatizada aprobada.</w:t>
      </w:r>
    </w:p>
    <w:p>
      <w:pPr>
        <w:pStyle w:val="Heading3"/>
      </w:pPr>
      <w:bookmarkStart w:id="57" w:name="h57"/>
      <w:r>
        <w:t>7.50 CP 50 Exigir revisión</w:t>
      </w:r>
      <w:bookmarkEnd w:id="57"/>
    </w:p>
    <w:p>
      <w:r>
        <w:t>Módulo. Factura IA.</w:t>
      </w:r>
    </w:p>
    <w:p>
      <w:r>
        <w:t>Procedimiento de la fuente. Vaciar cantidad o precio de venta de una línea.</w:t>
      </w:r>
    </w:p>
    <w:p>
      <w:r>
        <w:t>Resultado esperado. Confirmar e ingresar queda deshabilitado y la API rechaza valores inválidos.</w:t>
      </w:r>
    </w:p>
    <w:p>
      <w:r>
        <w:t>Estado registrado. Automatizada aprobada.</w:t>
      </w:r>
    </w:p>
    <w:p>
      <w:pPr>
        <w:pStyle w:val="Heading3"/>
      </w:pPr>
      <w:bookmarkStart w:id="58" w:name="h58"/>
      <w:r>
        <w:t>7.51 CP 51 Evitar doble ingreso</w:t>
      </w:r>
      <w:bookmarkEnd w:id="58"/>
    </w:p>
    <w:p>
      <w:r>
        <w:t>Módulo. Factura IA.</w:t>
      </w:r>
    </w:p>
    <w:p>
      <w:r>
        <w:t>Procedimiento de la fuente. Reintentar con la misma clave o volver a cargar el mismo folio.</w:t>
      </w:r>
    </w:p>
    <w:p>
      <w:r>
        <w:t>Resultado esperado. Devuelve la compra previa o rechaza el duplicado; el stock aumenta una sola vez.</w:t>
      </w:r>
    </w:p>
    <w:p>
      <w:r>
        <w:t>Estado registrado. Automatizada aprobada.</w:t>
      </w:r>
    </w:p>
    <w:p>
      <w:pPr>
        <w:pStyle w:val="Heading3"/>
      </w:pPr>
      <w:bookmarkStart w:id="59" w:name="h59"/>
      <w:r>
        <w:t>7.52 CP 52 Permisos</w:t>
      </w:r>
      <w:bookmarkEnd w:id="59"/>
    </w:p>
    <w:p>
      <w:r>
        <w:t>Módulo. Factura IA.</w:t>
      </w:r>
    </w:p>
    <w:p>
      <w:r>
        <w:t>Procedimiento de la fuente. Intentar analizar o importar con token de vendedor.</w:t>
      </w:r>
    </w:p>
    <w:p>
      <w:r>
        <w:t>Resultado esperado. La API responde 403 y no cambia inventario.</w:t>
      </w:r>
    </w:p>
    <w:p>
      <w:r>
        <w:t>Estado registrado. Importación CSV comprobada con 403; factura pendiente evidencia.</w:t>
      </w:r>
    </w:p>
    <w:p>
      <w:pPr>
        <w:pStyle w:val="Heading3"/>
      </w:pPr>
      <w:bookmarkStart w:id="60" w:name="h60"/>
      <w:r>
        <w:t>7.53 CP 53 Apertura automática</w:t>
      </w:r>
      <w:bookmarkEnd w:id="60"/>
    </w:p>
    <w:p>
      <w:r>
        <w:t>Módulo. Carga inicial.</w:t>
      </w:r>
    </w:p>
    <w:p>
      <w:r>
        <w:t>Procedimiento de la fuente. Crear un local sin productos e iniciar sesión como dueño.</w:t>
      </w:r>
    </w:p>
    <w:p>
      <w:r>
        <w:t>Resultado esperado. Abre automáticamente el asistente y sugiere categorías según el rubro.</w:t>
      </w:r>
    </w:p>
    <w:p>
      <w:r>
        <w:t>Estado registrado. Visual aprobada a 320 px.</w:t>
      </w:r>
    </w:p>
    <w:p>
      <w:pPr>
        <w:pStyle w:val="Heading3"/>
      </w:pPr>
      <w:bookmarkStart w:id="61" w:name="h61"/>
      <w:r>
        <w:t>7.54 CP 54 Importación masiva</w:t>
      </w:r>
      <w:bookmarkEnd w:id="61"/>
    </w:p>
    <w:p>
      <w:r>
        <w:t>Módulo. Carga inicial.</w:t>
      </w:r>
    </w:p>
    <w:p>
      <w:r>
        <w:t>Procedimiento de la fuente. Subir una plantilla CSV con dos productos válidos y una fila inválida.</w:t>
      </w:r>
    </w:p>
    <w:p>
      <w:r>
        <w:t>Resultado esperado. Muestra vista previa, omite la fila inválida y crea los dos productos válidos.</w:t>
      </w:r>
    </w:p>
    <w:p>
      <w:r>
        <w:t>Estado registrado. Automatizada y visual aprobadas.</w:t>
      </w:r>
    </w:p>
    <w:p>
      <w:pPr>
        <w:pStyle w:val="Heading3"/>
      </w:pPr>
      <w:bookmarkStart w:id="62" w:name="h62"/>
      <w:r>
        <w:t>7.55 CP 55 Evitar duplicados</w:t>
      </w:r>
      <w:bookmarkEnd w:id="62"/>
    </w:p>
    <w:p>
      <w:r>
        <w:t>Módulo. Carga inicial.</w:t>
      </w:r>
    </w:p>
    <w:p>
      <w:r>
        <w:t>Procedimiento de la fuente. Reintentar la misma carga y subir un producto con código o nombre ya existente.</w:t>
      </w:r>
    </w:p>
    <w:p>
      <w:r>
        <w:t>Resultado esperado. No crea duplicados e informa las filas ya existentes.</w:t>
      </w:r>
    </w:p>
    <w:p>
      <w:r>
        <w:t>Estado registrado. Automatizada aprobada.</w:t>
      </w:r>
    </w:p>
    <w:p>
      <w:pPr>
        <w:pStyle w:val="Heading3"/>
      </w:pPr>
      <w:bookmarkStart w:id="63" w:name="h63"/>
      <w:r>
        <w:t>7.56 CP 56 Reanudar o posponer</w:t>
      </w:r>
      <w:bookmarkEnd w:id="63"/>
    </w:p>
    <w:p>
      <w:r>
        <w:t>Módulo. Carga inicial.</w:t>
      </w:r>
    </w:p>
    <w:p>
      <w:r>
        <w:t>Procedimiento de la fuente. Elegir un método, recargar y luego presionar Hacerlo después.</w:t>
      </w:r>
    </w:p>
    <w:p>
      <w:r>
        <w:t>Resultado esperado. Recupera el método elegido; al posponer no fuerza nuevamente el asistente y permanece accesible desde el menú.</w:t>
      </w:r>
    </w:p>
    <w:p>
      <w:r>
        <w:t>Estado registrado. Reanudación y acceso posterior aprobados.</w:t>
      </w:r>
    </w:p>
    <w:p>
      <w:pPr>
        <w:pStyle w:val="Heading3"/>
      </w:pPr>
      <w:bookmarkStart w:id="64" w:name="h64"/>
      <w:r>
        <w:t>7.57 CP 57 Un producto</w:t>
      </w:r>
      <w:bookmarkEnd w:id="64"/>
    </w:p>
    <w:p>
      <w:r>
        <w:t>Módulo. Venta Rápida A.</w:t>
      </w:r>
    </w:p>
    <w:p>
      <w:r>
        <w:t>Procedimiento de la fuente. Analizar una foto con un producto catalogado.</w:t>
      </w:r>
    </w:p>
    <w:p>
      <w:r>
        <w:t>Resultado esperado. Muestra una línea lista con cantidad 1 y precio obtenido del inventario.</w:t>
      </w:r>
    </w:p>
    <w:p>
      <w:r>
        <w:t>Estado registrado. Automatizada aprobada.</w:t>
      </w:r>
    </w:p>
    <w:p>
      <w:pPr>
        <w:pStyle w:val="Heading3"/>
      </w:pPr>
      <w:bookmarkStart w:id="65" w:name="h65"/>
      <w:r>
        <w:t>7.58 CP 58 Varios productos</w:t>
      </w:r>
      <w:bookmarkEnd w:id="65"/>
    </w:p>
    <w:p>
      <w:r>
        <w:t>Módulo. Venta Rápida B.</w:t>
      </w:r>
    </w:p>
    <w:p>
      <w:r>
        <w:t>Procedimiento de la fuente. Analizar una foto con productos distintos.</w:t>
      </w:r>
    </w:p>
    <w:p>
      <w:r>
        <w:t>Resultado esperado. Devuelve líneas separadas y calcula el total con precios locales.</w:t>
      </w:r>
    </w:p>
    <w:p>
      <w:r>
        <w:t>Estado registrado. Automatizada aprobada.</w:t>
      </w:r>
    </w:p>
    <w:p>
      <w:pPr>
        <w:pStyle w:val="Heading3"/>
      </w:pPr>
      <w:bookmarkStart w:id="66" w:name="h66"/>
      <w:r>
        <w:t>7.59 CP 59 Unidades repetidas</w:t>
      </w:r>
      <w:bookmarkEnd w:id="66"/>
    </w:p>
    <w:p>
      <w:r>
        <w:t>Módulo. Venta Rápida C.</w:t>
      </w:r>
    </w:p>
    <w:p>
      <w:r>
        <w:t>Procedimiento de la fuente. Analizar varias unidades iguales o una respuesta repetida para el mismo ID.</w:t>
      </w:r>
    </w:p>
    <w:p>
      <w:r>
        <w:t>Resultado esperado. Agrupa el producto y suma las cantidades.</w:t>
      </w:r>
    </w:p>
    <w:p>
      <w:r>
        <w:t>Estado registrado. Automatizada aprobada.</w:t>
      </w:r>
    </w:p>
    <w:p>
      <w:pPr>
        <w:pStyle w:val="Heading3"/>
      </w:pPr>
      <w:bookmarkStart w:id="67" w:name="h67"/>
      <w:r>
        <w:t>7.60 CP 60 Producto no encontrado</w:t>
      </w:r>
      <w:bookmarkEnd w:id="67"/>
    </w:p>
    <w:p>
      <w:r>
        <w:t>Módulo. Venta Rápida D.</w:t>
      </w:r>
    </w:p>
    <w:p>
      <w:r>
        <w:t>Procedimiento de la fuente. Analizar un objeto sin coincidencia de catálogo.</w:t>
      </w:r>
    </w:p>
    <w:p>
      <w:r>
        <w:t>Resultado esperado. Lo marca Producto no reconocido y permite buscar o ignorar; no crea inventario.</w:t>
      </w:r>
    </w:p>
    <w:p>
      <w:r>
        <w:t>Estado registrado. Automatizada y visual aprobadas mediante código desconocido y corrección manual.</w:t>
      </w:r>
    </w:p>
    <w:p>
      <w:pPr>
        <w:pStyle w:val="Heading3"/>
      </w:pPr>
      <w:bookmarkStart w:id="68" w:name="h68"/>
      <w:r>
        <w:t>7.61 CP 61 Detección ambigua</w:t>
      </w:r>
      <w:bookmarkEnd w:id="68"/>
    </w:p>
    <w:p>
      <w:r>
        <w:t>Módulo. Venta Rápida E.</w:t>
      </w:r>
    </w:p>
    <w:p>
      <w:r>
        <w:t>Procedimiento de la fuente. Devolver una coincidencia de confianza media con varias alternativas.</w:t>
      </w:r>
    </w:p>
    <w:p>
      <w:r>
        <w:t>Resultado esperado. Exige selección o confirmación antes de habilitar Agregar a la venta.</w:t>
      </w:r>
    </w:p>
    <w:p>
      <w:r>
        <w:t>Estado registrado. Automatizada aprobada; visual pendiente.</w:t>
      </w:r>
    </w:p>
    <w:p>
      <w:pPr>
        <w:pStyle w:val="Heading3"/>
      </w:pPr>
      <w:bookmarkStart w:id="69" w:name="h69"/>
      <w:r>
        <w:t>7.62 CP 62 Stock insuficiente</w:t>
      </w:r>
      <w:bookmarkEnd w:id="69"/>
    </w:p>
    <w:p>
      <w:r>
        <w:t>Módulo. Venta Rápida F.</w:t>
      </w:r>
    </w:p>
    <w:p>
      <w:r>
        <w:t>Procedimiento de la fuente. Detectar cantidad superior al stock registrado.</w:t>
      </w:r>
    </w:p>
    <w:p>
      <w:r>
        <w:t>Resultado esperado. Advierte detectado versus stock y aplica la misma regla del POS al agregar.</w:t>
      </w:r>
    </w:p>
    <w:p>
      <w:r>
        <w:t>Estado registrado. Automatizada y visual aprobadas; el POS rechazó cantidad 29 con stock 28.</w:t>
      </w:r>
    </w:p>
    <w:p>
      <w:pPr>
        <w:pStyle w:val="Heading3"/>
      </w:pPr>
      <w:bookmarkStart w:id="70" w:name="h70"/>
      <w:r>
        <w:t>7.63 CP 63 Falla de IA</w:t>
      </w:r>
      <w:bookmarkEnd w:id="70"/>
    </w:p>
    <w:p>
      <w:r>
        <w:t>Módulo. Venta Rápida G.</w:t>
      </w:r>
    </w:p>
    <w:p>
      <w:r>
        <w:t>Procedimiento de la fuente. Simular error o servicio no configurado.</w:t>
      </w:r>
    </w:p>
    <w:p>
      <w:r>
        <w:t>Resultado esperado. Mantiene la foto y ofrece reintentar sin modificar ticket ni stock.</w:t>
      </w:r>
    </w:p>
    <w:p>
      <w:r>
        <w:t>Estado registrado. Endpoint aprobado sin clave (503 controlado); interacción visual pendiente.</w:t>
      </w:r>
    </w:p>
    <w:p>
      <w:pPr>
        <w:pStyle w:val="Heading3"/>
      </w:pPr>
      <w:bookmarkStart w:id="71" w:name="h71"/>
      <w:r>
        <w:t>7.64 CP 64 Cámara rechazada</w:t>
      </w:r>
      <w:bookmarkEnd w:id="71"/>
    </w:p>
    <w:p>
      <w:r>
        <w:t>Módulo. Venta Rápida H.</w:t>
      </w:r>
    </w:p>
    <w:p>
      <w:r>
        <w:t>Procedimiento de la fuente. Rechazar permiso de cámara.</w:t>
      </w:r>
    </w:p>
    <w:p>
      <w:r>
        <w:t>Resultado esperado. Explica brevemente el permiso y ofrece cámara del teléfono o subir foto.</w:t>
      </w:r>
    </w:p>
    <w:p>
      <w:r>
        <w:t>Estado registrado. Pendiente dispositivo real.</w:t>
      </w:r>
    </w:p>
    <w:p>
      <w:pPr>
        <w:pStyle w:val="Heading3"/>
      </w:pPr>
      <w:bookmarkStart w:id="72" w:name="h72"/>
      <w:r>
        <w:t>7.65 CP 65 Foto sin productos</w:t>
      </w:r>
      <w:bookmarkEnd w:id="72"/>
    </w:p>
    <w:p>
      <w:r>
        <w:t>Módulo. Venta Rápida I.</w:t>
      </w:r>
    </w:p>
    <w:p>
      <w:r>
        <w:t>Procedimiento de la fuente. Analizar una imagen sin productos claros.</w:t>
      </w:r>
    </w:p>
    <w:p>
      <w:r>
        <w:t>Resultado esperado. Muestra No encontramos productos claramente visibles y permite otra foto.</w:t>
      </w:r>
    </w:p>
    <w:p>
      <w:r>
        <w:t>Estado registrado. Automatizada aprobada; visual pendiente.</w:t>
      </w:r>
    </w:p>
    <w:p>
      <w:pPr>
        <w:pStyle w:val="Heading3"/>
      </w:pPr>
      <w:bookmarkStart w:id="73" w:name="h73"/>
      <w:r>
        <w:t>7.66 CP 66 Integración POS</w:t>
      </w:r>
      <w:bookmarkEnd w:id="73"/>
    </w:p>
    <w:p>
      <w:r>
        <w:t>Módulo. Venta Rápida J.</w:t>
      </w:r>
    </w:p>
    <w:p>
      <w:r>
        <w:t>Procedimiento de la fuente. Confirmar productos revisados y presionar Agregar a la venta.</w:t>
      </w:r>
    </w:p>
    <w:p>
      <w:r>
        <w:t>Resultado esperado. Abre el ticket POS existente; stock y kardex no cambian hasta confirmar el cobro.</w:t>
      </w:r>
    </w:p>
    <w:p>
      <w:r>
        <w:t>Estado registrado. Automatizada y visual aprobadas; cantidad 2 llegó al ticket y el stock permaneció en 28.</w:t>
      </w:r>
    </w:p>
    <w:p>
      <w:pPr>
        <w:pStyle w:val="Heading3"/>
      </w:pPr>
      <w:bookmarkStart w:id="74" w:name="h74"/>
      <w:r>
        <w:t>7.67 CP 67 Menú por rol</w:t>
      </w:r>
      <w:bookmarkEnd w:id="74"/>
    </w:p>
    <w:p>
      <w:r>
        <w:t>Módulo. Navegación.</w:t>
      </w:r>
    </w:p>
    <w:p>
      <w:r>
        <w:t>Procedimiento de la fuente. Iniciar como dueño y vendedor en móvil/escritorio.</w:t>
      </w:r>
    </w:p>
    <w:p>
      <w:r>
        <w:t>Resultado esperado. Dueño ve 7 áreas; vendedor ve Vender, Inventario, Clientes y Caja; funciones secundarias no duplican navegación.</w:t>
      </w:r>
    </w:p>
    <w:p>
      <w:r>
        <w:t>Estado registrado. Typecheck y revisión móvil aprobados.</w:t>
      </w:r>
    </w:p>
    <w:p>
      <w:pPr>
        <w:pStyle w:val="Heading3"/>
      </w:pPr>
      <w:bookmarkStart w:id="75" w:name="h75"/>
      <w:r>
        <w:t>7.68 CP 68 Medios después de Cobrar</w:t>
      </w:r>
      <w:bookmarkEnd w:id="75"/>
    </w:p>
    <w:p>
      <w:r>
        <w:t>Módulo. POS.</w:t>
      </w:r>
    </w:p>
    <w:p>
      <w:r>
        <w:t>Procedimiento de la fuente. Agregar producto y observar ticket antes de pulsar Cobrar.</w:t>
      </w:r>
    </w:p>
    <w:p>
      <w:r>
        <w:t>Resultado esperado. Los medios de pago no aparecen hasta solicitar el cobro.</w:t>
      </w:r>
    </w:p>
    <w:p>
      <w:r>
        <w:t>Estado registrado. Visual móvil aprobada.</w:t>
      </w:r>
    </w:p>
    <w:p>
      <w:pPr>
        <w:pStyle w:val="Heading3"/>
      </w:pPr>
      <w:bookmarkStart w:id="76" w:name="h76"/>
      <w:r>
        <w:t>7.69 CP 69 Confirmación de pago externo</w:t>
      </w:r>
      <w:bookmarkEnd w:id="76"/>
    </w:p>
    <w:p>
      <w:r>
        <w:t>Módulo. POS.</w:t>
      </w:r>
    </w:p>
    <w:p>
      <w:r>
        <w:t>Procedimiento de la fuente. Elegir tarjeta, transferencia o Webpay.</w:t>
      </w:r>
    </w:p>
    <w:p>
      <w:r>
        <w:t>Resultado esperado. Registrar venta queda deshabilitado hasta marcar pago aprobado; antes de eso no existe venta ni baja stock.</w:t>
      </w:r>
    </w:p>
    <w:p>
      <w:r>
        <w:t>Estado registrado. Visual y API local aprobadas con tarjeta.</w:t>
      </w:r>
    </w:p>
    <w:p>
      <w:pPr>
        <w:pStyle w:val="Heading3"/>
      </w:pPr>
      <w:bookmarkStart w:id="77" w:name="h77"/>
      <w:r>
        <w:t>7.70 CP 70 Prueba Pro al crear local</w:t>
      </w:r>
      <w:bookmarkEnd w:id="77"/>
    </w:p>
    <w:p>
      <w:r>
        <w:t>Módulo. Suscripción.</w:t>
      </w:r>
    </w:p>
    <w:p>
      <w:r>
        <w:t>Procedimiento de la fuente. Crear tenant desde plataforma.</w:t>
      </w:r>
    </w:p>
    <w:p>
      <w:r>
        <w:t xml:space="preserve">Resultado esperado. Se crea suscripción Pro </w:t>
      </w:r>
      <w:r>
        <w:rPr>
          <w:rFonts w:ascii="DejaVu Sans Mono" w:hAnsi="DejaVu Sans Mono"/>
          <w:sz w:val="18"/>
        </w:rPr>
        <w:t>trialing</w:t>
      </w:r>
      <w:r>
        <w:t xml:space="preserve"> por 30 días y bootstrap entrega entitlements.</w:t>
      </w:r>
    </w:p>
    <w:p>
      <w:r>
        <w:t>Estado registrado. Automatizada aprobada.</w:t>
      </w:r>
    </w:p>
    <w:p>
      <w:pPr>
        <w:pStyle w:val="Heading3"/>
      </w:pPr>
      <w:bookmarkStart w:id="78" w:name="h78"/>
      <w:r>
        <w:t>7.71 CP 71 Plan Básico</w:t>
      </w:r>
      <w:bookmarkEnd w:id="78"/>
    </w:p>
    <w:p>
      <w:r>
        <w:t>Módulo. Suscripción.</w:t>
      </w:r>
    </w:p>
    <w:p>
      <w:r>
        <w:t>Procedimiento de la fuente. Cambiar a Básico e intentar clientes, IA o compras desde UI/API.</w:t>
      </w:r>
    </w:p>
    <w:p>
      <w:r>
        <w:t>Resultado esperado. Navegación oculta función y API responde 403; ventas, inventario y caja siguen disponibles.</w:t>
      </w:r>
    </w:p>
    <w:p>
      <w:r>
        <w:t>Estado registrado. UI y HTTP aprobados: productos 200, clientes 403 y Venta Rápida deriva a Mi plan.</w:t>
      </w:r>
    </w:p>
    <w:p>
      <w:pPr>
        <w:pStyle w:val="Heading3"/>
      </w:pPr>
      <w:bookmarkStart w:id="79" w:name="h79"/>
      <w:r>
        <w:t>7.72 CP 72 Vencimiento solo lectura</w:t>
      </w:r>
      <w:bookmarkEnd w:id="79"/>
    </w:p>
    <w:p>
      <w:r>
        <w:t>Módulo. Suscripción.</w:t>
      </w:r>
    </w:p>
    <w:p>
      <w:r>
        <w:t>Procedimiento de la fuente. Vencer prueba/período y consultar/modificar datos.</w:t>
      </w:r>
    </w:p>
    <w:p>
      <w:r>
        <w:t>Resultado esperado. Consultas del plan siguen disponibles; mutaciones responden 403 y los datos permanecen.</w:t>
      </w:r>
    </w:p>
    <w:p>
      <w:r>
        <w:t>Estado registrado. HTTP/UI aprobados: productos GET 200, POST 403 y controles POS deshabilitados.</w:t>
      </w:r>
    </w:p>
    <w:p>
      <w:pPr>
        <w:pStyle w:val="Heading3"/>
      </w:pPr>
      <w:bookmarkStart w:id="80" w:name="h80"/>
      <w:r>
        <w:t>7.73 CP 73 Métricas SaaS</w:t>
      </w:r>
      <w:bookmarkEnd w:id="80"/>
    </w:p>
    <w:p>
      <w:r>
        <w:t>Módulo. Plataforma.</w:t>
      </w:r>
    </w:p>
    <w:p>
      <w:r>
        <w:t xml:space="preserve">Procedimiento de la fuente. Entrar como </w:t>
      </w:r>
      <w:r>
        <w:rPr>
          <w:rFonts w:ascii="DejaVu Sans Mono" w:hAnsi="DejaVu Sans Mono"/>
          <w:sz w:val="18"/>
        </w:rPr>
        <w:t>system_admin</w:t>
      </w:r>
      <w:r>
        <w:t>.</w:t>
      </w:r>
    </w:p>
    <w:p>
      <w:r>
        <w:t>Resultado esperado. Muestra locales, pruebas activas, MRR estimado y controles de plan/estado por tenant.</w:t>
      </w:r>
    </w:p>
    <w:p>
      <w:r>
        <w:t>Estado registrado. Visual aprobada; activación Basic actualizó MRR de $59.970 a $49.970.</w:t>
      </w:r>
    </w:p>
    <w:p>
      <w:pPr>
        <w:pStyle w:val="Heading3"/>
      </w:pPr>
      <w:bookmarkStart w:id="81" w:name="h81"/>
      <w:r>
        <w:t>7.74 CP 74 Claro  oscuro y sistema</w:t>
      </w:r>
      <w:bookmarkEnd w:id="81"/>
    </w:p>
    <w:p>
      <w:r>
        <w:t>Módulo. Apariencia.</w:t>
      </w:r>
    </w:p>
    <w:p>
      <w:r>
        <w:t>Procedimiento de la fuente. Cambiar el control Apariencia del lateral en escritorio o del menú móvil y recargar.</w:t>
      </w:r>
    </w:p>
    <w:p>
      <w:r>
        <w:t>Resultado esperado. Tema persiste por usuario, mantiene contraste y respeta preferencia del sistema.</w:t>
      </w:r>
    </w:p>
    <w:p>
      <w:r>
        <w:t>Estado registrado. Claro predeterminado y Oscuro persistido tras recarga a 390 px.</w:t>
      </w:r>
    </w:p>
    <w:p>
      <w:pPr>
        <w:pStyle w:val="Heading3"/>
      </w:pPr>
      <w:bookmarkStart w:id="82" w:name="h82"/>
      <w:r>
        <w:t>7.75 CP 75 Sin zoom ni desborde</w:t>
      </w:r>
      <w:bookmarkEnd w:id="82"/>
    </w:p>
    <w:p>
      <w:r>
        <w:t>Módulo. Responsive.</w:t>
      </w:r>
    </w:p>
    <w:p>
      <w:r>
        <w:t>Procedimiento de la fuente. Revisar Inicio, Vender, Inventario y formularios a 390 × 844.</w:t>
      </w:r>
    </w:p>
    <w:p>
      <w:r>
        <w:t xml:space="preserve">Resultado esperado. </w:t>
      </w:r>
      <w:r>
        <w:rPr>
          <w:rFonts w:ascii="DejaVu Sans Mono" w:hAnsi="DejaVu Sans Mono"/>
          <w:sz w:val="18"/>
        </w:rPr>
        <w:t>scrollWidth</w:t>
      </w:r>
      <w:r>
        <w:t xml:space="preserve"> no supera el viewport y la navegación inferior no tapa controles esenciales.</w:t>
      </w:r>
    </w:p>
    <w:p>
      <w:r>
        <w:t>Estado registrado. Aprobada en 390 × 844.</w:t>
      </w:r>
    </w:p>
    <w:p>
      <w:pPr>
        <w:pStyle w:val="Heading3"/>
      </w:pPr>
      <w:bookmarkStart w:id="83" w:name="h83"/>
      <w:r>
        <w:t>7.76 CP 76 Jerarquía diaria</w:t>
      </w:r>
      <w:bookmarkEnd w:id="83"/>
    </w:p>
    <w:p>
      <w:r>
        <w:t>Módulo. Inicio.</w:t>
      </w:r>
    </w:p>
    <w:p>
      <w:r>
        <w:t>Procedimiento de la fuente. Entrar como owner.</w:t>
      </w:r>
    </w:p>
    <w:p>
      <w:r>
        <w:t>Resultado esperado. Ventas de hoy domina; muestra acciones Vender/Agregar producto/Ver caja, atención y cuatro métricas útiles.</w:t>
      </w:r>
    </w:p>
    <w:p>
      <w:r>
        <w:t>Estado registrado. Visual aprobada a 390 y 1440 px; sin desborde.</w:t>
      </w:r>
    </w:p>
    <w:p>
      <w:pPr>
        <w:pStyle w:val="Heading3"/>
      </w:pPr>
      <w:bookmarkStart w:id="84" w:name="h84"/>
      <w:r>
        <w:t>7.77 CP 77 Editar identidad</w:t>
      </w:r>
      <w:bookmarkEnd w:id="84"/>
    </w:p>
    <w:p>
      <w:r>
        <w:t>Módulo. Negocio.</w:t>
      </w:r>
    </w:p>
    <w:p>
      <w:r>
        <w:t>Procedimiento de la fuente. Cambiar nombre, rubro, dirección y teléfono desde el engranaje de Configuración.</w:t>
      </w:r>
    </w:p>
    <w:p>
      <w:r>
        <w:t xml:space="preserve">Resultado esperado. API persiste el tenant, actualiza sesión y registra auditoría sin permitir cambiar </w:t>
      </w:r>
      <w:r>
        <w:rPr>
          <w:rFonts w:ascii="DejaVu Sans Mono" w:hAnsi="DejaVu Sans Mono"/>
          <w:sz w:val="18"/>
        </w:rPr>
        <w:t>active</w:t>
      </w:r>
      <w:r>
        <w:t>.</w:t>
      </w:r>
    </w:p>
    <w:p>
      <w:r>
        <w:t>Estado registrado. Automatizada y visual/HTTP aprobadas con mensaje Datos del negocio guardados.</w:t>
      </w:r>
    </w:p>
    <w:p>
      <w:pPr>
        <w:pStyle w:val="Heading3"/>
      </w:pPr>
      <w:bookmarkStart w:id="85" w:name="h85"/>
      <w:r>
        <w:t>7.78 CP 78 Solicitud durante trial</w:t>
      </w:r>
      <w:bookmarkEnd w:id="85"/>
    </w:p>
    <w:p>
      <w:r>
        <w:t>Módulo. Suscripción.</w:t>
      </w:r>
    </w:p>
    <w:p>
      <w:r>
        <w:t>Procedimiento de la fuente. Solicitar Basic mientras existe trial Pro.</w:t>
      </w:r>
    </w:p>
    <w:p>
      <w:r>
        <w:t xml:space="preserve">Resultado esperado. Mantiene Pro </w:t>
      </w:r>
      <w:r>
        <w:rPr>
          <w:rFonts w:ascii="DejaVu Sans Mono" w:hAnsi="DejaVu Sans Mono"/>
          <w:sz w:val="18"/>
        </w:rPr>
        <w:t>trialing</w:t>
      </w:r>
      <w:r>
        <w:t xml:space="preserve">, registra </w:t>
      </w:r>
      <w:r>
        <w:rPr>
          <w:rFonts w:ascii="DejaVu Sans Mono" w:hAnsi="DejaVu Sans Mono"/>
          <w:sz w:val="18"/>
        </w:rPr>
        <w:t>pendingPlan=basic</w:t>
      </w:r>
      <w:r>
        <w:t xml:space="preserve"> y no corta acceso.</w:t>
      </w:r>
    </w:p>
    <w:p>
      <w:r>
        <w:t>Estado registrado. Automatizada aprobada.</w:t>
      </w:r>
    </w:p>
    <w:p>
      <w:pPr>
        <w:pStyle w:val="Heading3"/>
      </w:pPr>
      <w:bookmarkStart w:id="86" w:name="h86"/>
      <w:r>
        <w:t>7.79 CP 79 Activación manual</w:t>
      </w:r>
      <w:bookmarkEnd w:id="86"/>
    </w:p>
    <w:p>
      <w:r>
        <w:t>Módulo. Suscripción.</w:t>
      </w:r>
    </w:p>
    <w:p>
      <w:r>
        <w:t>Procedimiento de la fuente. Como system_admin activar un tenant con plan solicitado.</w:t>
      </w:r>
    </w:p>
    <w:p>
      <w:r>
        <w:t>Resultado esperado. Aplica plan solicitado, crea período, limpia pendiente y audita.</w:t>
      </w:r>
    </w:p>
    <w:p>
      <w:r>
        <w:t>Estado registrado. Visual/HTTP aprobada: solicitud Basic desapareció y plan quedó active.</w:t>
      </w:r>
    </w:p>
    <w:p>
      <w:pPr>
        <w:pStyle w:val="Heading3"/>
      </w:pPr>
      <w:bookmarkStart w:id="87" w:name="h87"/>
      <w:r>
        <w:t>7.80 CP 80 Vencido con lectura</w:t>
      </w:r>
      <w:bookmarkEnd w:id="87"/>
    </w:p>
    <w:p>
      <w:r>
        <w:t>Módulo. Suscripción.</w:t>
      </w:r>
    </w:p>
    <w:p>
      <w:r>
        <w:t>Procedimiento de la fuente. Vencer plan Pro y entrar a Clientes/Reportes.</w:t>
      </w:r>
    </w:p>
    <w:p>
      <w:r>
        <w:t>Resultado esperado. Datos del plan siguen visibles; botones operativos deshabilitados y API rechaza mutaciones.</w:t>
      </w:r>
    </w:p>
    <w:p>
      <w:r>
        <w:t>Estado registrado. UI y HTTP aprobados con banner y productos del POS deshabilitados.</w:t>
      </w:r>
    </w:p>
    <w:p>
      <w:pPr>
        <w:pStyle w:val="Heading3"/>
      </w:pPr>
      <w:bookmarkStart w:id="88" w:name="h88"/>
      <w:r>
        <w:t>7.81 CP 81 Embudo SaaS</w:t>
      </w:r>
      <w:bookmarkEnd w:id="88"/>
    </w:p>
    <w:p>
      <w:r>
        <w:t>Módulo. Plataforma.</w:t>
      </w:r>
    </w:p>
    <w:p>
      <w:r>
        <w:t>Procedimiento de la fuente. Entrar como system_admin.</w:t>
      </w:r>
    </w:p>
    <w:p>
      <w:r>
        <w:t>Resultado esperado. Muestra Basic, Pro, past_due, expirados, pruebas nuevas, conversión y MRR.</w:t>
      </w:r>
    </w:p>
    <w:p>
      <w:r>
        <w:t>Estado registrado. Visual aprobada en panel system_admin.</w:t>
      </w:r>
    </w:p>
    <w:p>
      <w:pPr>
        <w:pStyle w:val="Heading3"/>
      </w:pPr>
      <w:bookmarkStart w:id="89" w:name="h89"/>
      <w:r>
        <w:t>7.82 CP 82 Predeterminado Claro</w:t>
      </w:r>
      <w:bookmarkEnd w:id="89"/>
    </w:p>
    <w:p>
      <w:r>
        <w:t>Módulo. Apariencia.</w:t>
      </w:r>
    </w:p>
    <w:p>
      <w:r>
        <w:t>Procedimiento de la fuente. Iniciar con un usuario sin preferencia guardada.</w:t>
      </w:r>
    </w:p>
    <w:p>
      <w:r>
        <w:t>Resultado esperado. Localito abre en Claro; Oscuro/Sistema quedan como selección explícita persistida.</w:t>
      </w:r>
    </w:p>
    <w:p>
      <w:r>
        <w:t>Estado registrado. Visual aprobada: dataset light inicial y selector Claro presionado.</w:t>
      </w:r>
    </w:p>
    <w:p>
      <w:pPr>
        <w:pStyle w:val="Heading3"/>
      </w:pPr>
      <w:bookmarkStart w:id="90" w:name="h90"/>
      <w:r>
        <w:t>7.83 CP 83 Crear empresa nueva</w:t>
      </w:r>
      <w:bookmarkEnd w:id="90"/>
    </w:p>
    <w:p>
      <w:r>
        <w:t>Módulo. Registro público.</w:t>
      </w:r>
    </w:p>
    <w:p>
      <w:r>
        <w:t>Procedimiento de la fuente. Completar negocio, dueño, correo y clave desde el login.</w:t>
      </w:r>
    </w:p>
    <w:p>
      <w:r>
        <w:t>Resultado esperado. Crea tenant aislado, sesión owner y prueba Pro de 30 días.</w:t>
      </w:r>
    </w:p>
    <w:p>
      <w:r>
        <w:t>Estado registrado. Automatizada y HTTP local aprobadas.</w:t>
      </w:r>
    </w:p>
    <w:p>
      <w:pPr>
        <w:pStyle w:val="Heading3"/>
      </w:pPr>
      <w:bookmarkStart w:id="91" w:name="h91"/>
      <w:r>
        <w:t>7.84 CP 84 Solicitar enlace sin proveedor de correo</w:t>
      </w:r>
      <w:bookmarkEnd w:id="91"/>
    </w:p>
    <w:p>
      <w:r>
        <w:t>Módulo. Recuperación.</w:t>
      </w:r>
    </w:p>
    <w:p>
      <w:r>
        <w:t>Procedimiento de la fuente. Enviar un correo válido con email transaccional sin configurar.</w:t>
      </w:r>
    </w:p>
    <w:p>
      <w:r>
        <w:t>Resultado esperado. Responde 202 sin revelar cuentas ni producir error 500; informa alternativa administrativa.</w:t>
      </w:r>
    </w:p>
    <w:p>
      <w:r>
        <w:t>Estado registrado. HTTP local aprobada.</w:t>
      </w:r>
    </w:p>
    <w:p>
      <w:pPr>
        <w:pStyle w:val="Heading3"/>
      </w:pPr>
      <w:bookmarkStart w:id="92" w:name="h92"/>
      <w:r>
        <w:t>7.85 CP 85 Persistencia de plan</w:t>
      </w:r>
      <w:bookmarkEnd w:id="92"/>
    </w:p>
    <w:p>
      <w:r>
        <w:t>Módulo. Plataforma.</w:t>
      </w:r>
    </w:p>
    <w:p>
      <w:r>
        <w:t>Procedimiento de la fuente. Cambiar Pro a Básico, recargar el panel y volver a Pro.</w:t>
      </w:r>
    </w:p>
    <w:p>
      <w:r>
        <w:t>Resultado esperado. La selección persiste después de la recarga.</w:t>
      </w:r>
    </w:p>
    <w:p>
      <w:r>
        <w:t>Estado registrado. Visual local aprobada.</w:t>
      </w:r>
    </w:p>
    <w:p>
      <w:pPr>
        <w:pStyle w:val="Heading3"/>
      </w:pPr>
      <w:bookmarkStart w:id="93" w:name="h93"/>
      <w:r>
        <w:t>7.86 CP 86 Eliminación definitiva de usuario</w:t>
      </w:r>
      <w:bookmarkEnd w:id="93"/>
    </w:p>
    <w:p>
      <w:r>
        <w:t>Módulo. Plataforma.</w:t>
      </w:r>
    </w:p>
    <w:p>
      <w:r>
        <w:t>Procedimiento de la fuente. Restablecer clave y eliminar un vendedor.</w:t>
      </w:r>
    </w:p>
    <w:p>
      <w:r>
        <w:t>Resultado esperado. Sesiones revocadas; historial de venta se conserva sin FK inválida.</w:t>
      </w:r>
    </w:p>
    <w:p>
      <w:r>
        <w:t>Estado registrado. Automatizada aprobada.</w:t>
      </w:r>
    </w:p>
    <w:p>
      <w:pPr>
        <w:pStyle w:val="Heading3"/>
      </w:pPr>
      <w:bookmarkStart w:id="94" w:name="h94"/>
      <w:r>
        <w:t>7.87 CP 87 Eliminación definitiva de local</w:t>
      </w:r>
      <w:bookmarkEnd w:id="94"/>
    </w:p>
    <w:p>
      <w:r>
        <w:t>Módulo. Plataforma.</w:t>
      </w:r>
    </w:p>
    <w:p>
      <w:r>
        <w:t>Procedimiento de la fuente. Eliminar tenant de prueba con confirmación reforzada.</w:t>
      </w:r>
    </w:p>
    <w:p>
      <w:r>
        <w:t>Resultado esperado. Se eliminan todos sus datos y no afecta otros tenants.</w:t>
      </w:r>
    </w:p>
    <w:p>
      <w:r>
        <w:t>Estado registrado. Automatizada aprobada.</w:t>
      </w:r>
    </w:p>
    <w:p>
      <w:pPr>
        <w:pStyle w:val="Heading3"/>
      </w:pPr>
      <w:bookmarkStart w:id="95" w:name="h95"/>
      <w:r>
        <w:t>7.88 CP 88 Pestañas estables</w:t>
      </w:r>
      <w:bookmarkEnd w:id="95"/>
    </w:p>
    <w:p>
      <w:r>
        <w:t>Módulo. Clientes.</w:t>
      </w:r>
    </w:p>
    <w:p>
      <w:r>
        <w:t>Procedimiento de la fuente. Alternar Clientes, Fiado y Pendientes.</w:t>
      </w:r>
    </w:p>
    <w:p>
      <w:r>
        <w:t>Resultado esperado. La franja conserva 58 px de alto y no mueve la pantalla.</w:t>
      </w:r>
    </w:p>
    <w:p>
      <w:r>
        <w:t>Estado registrado. Visual automatizada en navegador aprobada.</w:t>
      </w:r>
    </w:p>
    <w:p>
      <w:pPr>
        <w:pStyle w:val="Heading3"/>
      </w:pPr>
      <w:bookmarkStart w:id="96" w:name="h96"/>
      <w:r>
        <w:t>7.89 CP 89 Registrar abono</w:t>
      </w:r>
      <w:bookmarkEnd w:id="96"/>
    </w:p>
    <w:p>
      <w:r>
        <w:t>Módulo. Fiado.</w:t>
      </w:r>
    </w:p>
    <w:p>
      <w:r>
        <w:t>Procedimiento de la fuente. Ingresar monto y medio en cliente con deuda.</w:t>
      </w:r>
    </w:p>
    <w:p>
      <w:r>
        <w:t>Resultado esperado. Abono se habilita, reduce saldo y no admite monto vacío o superior.</w:t>
      </w:r>
    </w:p>
    <w:p>
      <w:r>
        <w:t>Estado registrado. Lógica y UI aprobadas.</w:t>
      </w:r>
    </w:p>
    <w:p>
      <w:pPr>
        <w:pStyle w:val="Heading3"/>
      </w:pPr>
      <w:bookmarkStart w:id="97" w:name="h97"/>
      <w:r>
        <w:t>7.90 CP 90 Explorar por categoría</w:t>
      </w:r>
      <w:bookmarkEnd w:id="97"/>
    </w:p>
    <w:p>
      <w:r>
        <w:t>Módulo. POS.</w:t>
      </w:r>
    </w:p>
    <w:p>
      <w:r>
        <w:t>Procedimiento de la fuente. Entrar a Vender, elegir una categoría y luego volver a Todos.</w:t>
      </w:r>
    </w:p>
    <w:p>
      <w:r>
        <w:t>Resultado esperado. Solo se muestran los productos de la categoría elegida; búsqueda restablece Todos y el ticket no cambia.</w:t>
      </w:r>
    </w:p>
    <w:p>
      <w:r>
        <w:t>Estado registrado. Pendiente evidencia.</w:t>
      </w:r>
    </w:p>
    <w:p>
      <w:pPr>
        <w:pStyle w:val="Heading3"/>
      </w:pPr>
      <w:bookmarkStart w:id="98" w:name="h98"/>
      <w:r>
        <w:t>7.91 CP 91 Prioridad contextual</w:t>
      </w:r>
      <w:bookmarkEnd w:id="98"/>
    </w:p>
    <w:p>
      <w:r>
        <w:t>Módulo. Inicio.</w:t>
      </w:r>
    </w:p>
    <w:p>
      <w:r>
        <w:t>Procedimiento de la fuente. Abrir Inicio con stock agotado, stock bajo, fiado pendiente y sin alertas.</w:t>
      </w:r>
    </w:p>
    <w:p>
      <w:r>
        <w:t>Resultado esperado. Muestra una única prioridad con acción directa; las tarjetas de atención aparecen solo cuando hay algo que revisar.</w:t>
      </w:r>
    </w:p>
    <w:p>
      <w:r>
        <w:t>Estado registrado. Pendiente evidencia.</w:t>
      </w:r>
    </w:p>
    <w:p>
      <w:pPr>
        <w:pStyle w:val="Heading3"/>
      </w:pPr>
      <w:bookmarkStart w:id="99" w:name="h99"/>
      <w:r>
        <w:t>7.92 CP 92 Productos frecuentes</w:t>
      </w:r>
      <w:bookmarkEnd w:id="99"/>
    </w:p>
    <w:p>
      <w:r>
        <w:t>Módulo. POS.</w:t>
      </w:r>
    </w:p>
    <w:p>
      <w:r>
        <w:t>Procedimiento de la fuente. Registrar ventas, abrir Vender y alternar Más vendidos/Recientes.</w:t>
      </w:r>
    </w:p>
    <w:p>
      <w:r>
        <w:t>Resultado esperado. Muestra hasta seis productos existentes del catálogo; al tocar uno se agrega al ticket sin alterar filtros ni stock.</w:t>
      </w:r>
    </w:p>
    <w:p>
      <w:r>
        <w:t>Estado registrado. Pendiente evidencia.</w:t>
      </w:r>
    </w:p>
    <w:p>
      <w:pPr>
        <w:pStyle w:val="Heading3"/>
      </w:pPr>
      <w:bookmarkStart w:id="100" w:name="h100"/>
      <w:r>
        <w:t>7.93 CP 93 Total y cobro fijo</w:t>
      </w:r>
      <w:bookmarkEnd w:id="100"/>
    </w:p>
    <w:p>
      <w:r>
        <w:t>Módulo. POS móvil.</w:t>
      </w:r>
    </w:p>
    <w:p>
      <w:r>
        <w:t>Procedimiento de la fuente. Agregar un producto y desplazarse por el catálogo a 390 px.</w:t>
      </w:r>
    </w:p>
    <w:p>
      <w:r>
        <w:t>Resultado esperado. La barra fija muestra cantidad, total, Revisar ticket y Cobrar sin tapar la navegación; Cobrar abre el paso de pago.</w:t>
      </w:r>
    </w:p>
    <w:p>
      <w:r>
        <w:t>Estado registrado. Pendiente evidencia.</w:t>
      </w:r>
    </w:p>
    <w:p>
      <w:pPr>
        <w:pStyle w:val="Heading3"/>
      </w:pPr>
      <w:bookmarkStart w:id="101" w:name="h101"/>
      <w:r>
        <w:t>7.94 CP 110 Carga según plan y rol</w:t>
      </w:r>
      <w:bookmarkEnd w:id="101"/>
    </w:p>
    <w:p>
      <w:r>
        <w:t>Módulo. Caja.</w:t>
      </w:r>
    </w:p>
    <w:p>
      <w:r>
        <w:t>Procedimiento de la fuente. Abrir Caja con Basic/Pro y dueño/vendedor.</w:t>
      </w:r>
    </w:p>
    <w:p>
      <w:r>
        <w:t>Resultado esperado. No muestra el error genérico de API; solicita solo módulos autorizados.</w:t>
      </w:r>
    </w:p>
    <w:p>
      <w:r>
        <w:t>Estado registrado. Visual local aprobada.</w:t>
      </w:r>
    </w:p>
    <w:p>
      <w:pPr>
        <w:pStyle w:val="Heading3"/>
      </w:pPr>
      <w:bookmarkStart w:id="102" w:name="h102"/>
      <w:r>
        <w:t>7.95 CP 111 Filtro mensual</w:t>
      </w:r>
      <w:bookmarkEnd w:id="102"/>
    </w:p>
    <w:p>
      <w:r>
        <w:t>Módulo. Reportes.</w:t>
      </w:r>
    </w:p>
    <w:p>
      <w:r>
        <w:t>Procedimiento de la fuente. Cambiar mes y revisar métricas/gráficos/listas.</w:t>
      </w:r>
    </w:p>
    <w:p>
      <w:r>
        <w:t>Resultado esperado. Todos los bloques usan el mismo período y valores netos.</w:t>
      </w:r>
    </w:p>
    <w:p>
      <w:r>
        <w:t>Estado registrado. Typecheck y visual aprobadas.</w:t>
      </w:r>
    </w:p>
    <w:p>
      <w:pPr>
        <w:pStyle w:val="Heading3"/>
      </w:pPr>
      <w:bookmarkStart w:id="103" w:name="h103"/>
      <w:r>
        <w:t>7.96 CP 112 Devolución parcial acumulada</w:t>
      </w:r>
      <w:bookmarkEnd w:id="103"/>
    </w:p>
    <w:p>
      <w:r>
        <w:t>Módulo. Ventas.</w:t>
      </w:r>
    </w:p>
    <w:p>
      <w:r>
        <w:t>Procedimiento de la fuente. Devolver unidades en dos operaciones.</w:t>
      </w:r>
    </w:p>
    <w:p>
      <w:r>
        <w:t>Resultado esperado. Nunca supera cantidad original y repone stock exactamente una vez.</w:t>
      </w:r>
    </w:p>
    <w:p>
      <w:r>
        <w:t>Estado registrado. Automatizada aprobada.</w:t>
      </w:r>
    </w:p>
    <w:p>
      <w:pPr>
        <w:pStyle w:val="Heading3"/>
      </w:pPr>
      <w:bookmarkStart w:id="104" w:name="h104"/>
      <w:r>
        <w:t>7.97 CP 113 Sin superficies blancas</w:t>
      </w:r>
      <w:bookmarkEnd w:id="104"/>
    </w:p>
    <w:p>
      <w:r>
        <w:t>Módulo. Tema oscuro.</w:t>
      </w:r>
    </w:p>
    <w:p>
      <w:r>
        <w:t>Procedimiento de la fuente. Revisar POS, buscador, clientes, reportes y modales.</w:t>
      </w:r>
    </w:p>
    <w:p>
      <w:r>
        <w:t>Resultado esperado. Fondo #090909, superficie #111111, bordes #292929 y sin sombras blancas.</w:t>
      </w:r>
    </w:p>
    <w:p>
      <w:r>
        <w:t>Estado registrado. CSS computado y visual a 320 px aprobados.</w:t>
      </w:r>
    </w:p>
    <w:p>
      <w:pPr>
        <w:pStyle w:val="Heading3"/>
      </w:pPr>
      <w:bookmarkStart w:id="105" w:name="h105"/>
      <w:r>
        <w:t>7.98 CP 94 Controles a 320 px</w:t>
      </w:r>
      <w:bookmarkEnd w:id="105"/>
    </w:p>
    <w:p>
      <w:r>
        <w:t>Módulo. Responsive.</w:t>
      </w:r>
    </w:p>
    <w:p>
      <w:r>
        <w:t>Procedimiento de la fuente. Abrir POS y medir encabezado/navegación.</w:t>
      </w:r>
    </w:p>
    <w:p>
      <w:r>
        <w:t>Resultado esperado. Cuatro botones de 44 px sin superposición y sin overflow horizontal.</w:t>
      </w:r>
    </w:p>
    <w:p>
      <w:r>
        <w:t>Estado registrado. Visual y medición aprobadas.</w:t>
      </w:r>
    </w:p>
    <w:p>
      <w:pPr>
        <w:pStyle w:val="Heading3"/>
      </w:pPr>
      <w:bookmarkStart w:id="106" w:name="h106"/>
      <w:r>
        <w:t>7.99 CP 95 Plan oculto</w:t>
      </w:r>
      <w:bookmarkEnd w:id="106"/>
    </w:p>
    <w:p>
      <w:r>
        <w:t>Módulo. Rol vendedor.</w:t>
      </w:r>
    </w:p>
    <w:p>
      <w:r>
        <w:t>Procedimiento de la fuente. Iniciar como vendedor en escritorio y móvil.</w:t>
      </w:r>
    </w:p>
    <w:p>
      <w:r>
        <w:t>Resultado esperado. No ve tarjeta, días, contratación ni reportes del dueño.</w:t>
      </w:r>
    </w:p>
    <w:p>
      <w:r>
        <w:t>Estado registrado. Visual local aprobada.</w:t>
      </w:r>
    </w:p>
    <w:p>
      <w:pPr>
        <w:pStyle w:val="Heading3"/>
      </w:pPr>
      <w:bookmarkStart w:id="107" w:name="h107"/>
      <w:r>
        <w:t>7.100 CP 96 Estados vacíos con orientación</w:t>
      </w:r>
      <w:bookmarkEnd w:id="107"/>
    </w:p>
    <w:p>
      <w:r>
        <w:t>Módulo. Experiencia.</w:t>
      </w:r>
    </w:p>
    <w:p>
      <w:r>
        <w:t>Procedimiento de la fuente. Abrir Vender sin ticket, filtrar un catálogo sin resultados, abrir Clientes vacío y elegir un mes sin ventas.</w:t>
      </w:r>
    </w:p>
    <w:p>
      <w:r>
        <w:t>Resultado esperado. Cada estado explica la situación y, cuando corresponde, entrega una acción segura para continuar sin crear datos de prueba.</w:t>
      </w:r>
    </w:p>
    <w:p>
      <w:r>
        <w:t>Estado registrado. Pendiente evidencia.</w:t>
      </w:r>
    </w:p>
    <w:p>
      <w:pPr>
        <w:pStyle w:val="Heading3"/>
      </w:pPr>
      <w:bookmarkStart w:id="108" w:name="h108"/>
      <w:r>
        <w:t>7.101 CP 97 Acceso por tarea</w:t>
      </w:r>
      <w:bookmarkEnd w:id="108"/>
    </w:p>
    <w:p>
      <w:r>
        <w:t>Módulo. Inventario.</w:t>
      </w:r>
    </w:p>
    <w:p>
      <w:r>
        <w:t>Procedimiento de la fuente. Abrir Inventario como dueño y usar Revisar catálogo, Agregar producto, Cargar varios e Ingresar factura.</w:t>
      </w:r>
    </w:p>
    <w:p>
      <w:r>
        <w:t>Resultado esperado. Cada tarea dirige al flujo existente correspondiente; no crea un segundo catálogo ni duplica la lógica de recepción.</w:t>
      </w:r>
    </w:p>
    <w:p>
      <w:r>
        <w:t>Estado registrado. Pendiente evidencia.</w:t>
      </w:r>
    </w:p>
    <w:p>
      <w:pPr>
        <w:pStyle w:val="Heading3"/>
      </w:pPr>
      <w:bookmarkStart w:id="109" w:name="h109"/>
      <w:r>
        <w:t>7.102 CP 98 Lectura por período</w:t>
      </w:r>
      <w:bookmarkEnd w:id="109"/>
    </w:p>
    <w:p>
      <w:r>
        <w:t>Módulo. Reportes.</w:t>
      </w:r>
    </w:p>
    <w:p>
      <w:r>
        <w:t>Procedimiento de la fuente. Elegir un mes con y sin ventas y recorrer resultado, análisis, caja e historial.</w:t>
      </w:r>
    </w:p>
    <w:p>
      <w:r>
        <w:t>Resultado esperado. El total y las métricas corresponden al período elegido; Caja de hoy declara que es operativa y los historiales muestran su alcance sin mezclar datos.</w:t>
      </w:r>
    </w:p>
    <w:p>
      <w:r>
        <w:t>Estado registrado. Pendiente evidencia.</w:t>
      </w:r>
    </w:p>
    <w:p>
      <w:pPr>
        <w:pStyle w:val="Heading3"/>
      </w:pPr>
      <w:bookmarkStart w:id="110" w:name="h110"/>
      <w:r>
        <w:t>7.103 CP 99 Formulario progresivo</w:t>
      </w:r>
      <w:bookmarkEnd w:id="110"/>
    </w:p>
    <w:p>
      <w:r>
        <w:t>Módulo. Productos.</w:t>
      </w:r>
    </w:p>
    <w:p>
      <w:r>
        <w:t>Procedimiento de la fuente. Crear y editar un producto completando solo datos principales y luego desplegando información adicional.</w:t>
      </w:r>
    </w:p>
    <w:p>
      <w:r>
        <w:t>Resultado esperado. Nombre, categoría, precio y stock son claros y suficientes para crear; datos opcionales conservan el mismo comportamiento al guardar.</w:t>
      </w:r>
    </w:p>
    <w:p>
      <w:r>
        <w:t>Estado registrado. Pendiente evidencia.</w:t>
      </w:r>
    </w:p>
    <w:p>
      <w:pPr>
        <w:pStyle w:val="Heading3"/>
      </w:pPr>
      <w:bookmarkStart w:id="111" w:name="h111"/>
      <w:r>
        <w:t>7.104 CP 100 Textos y acciones consistentes</w:t>
      </w:r>
      <w:bookmarkEnd w:id="111"/>
    </w:p>
    <w:p>
      <w:r>
        <w:t>Módulo. Experiencia.</w:t>
      </w:r>
    </w:p>
    <w:p>
      <w:r>
        <w:t>Procedimiento de la fuente. Recorrer Inicio, Inventario, Clientes, Reportes y los mensajes de sesión.</w:t>
      </w:r>
    </w:p>
    <w:p>
      <w:r>
        <w:t>Resultado esperado. Las acciones distinguen crear, guardar, revisar y cerrar; etiquetas, búsquedas y mensajes visibles usan español claro y acentuación correcta.</w:t>
      </w:r>
    </w:p>
    <w:p>
      <w:r>
        <w:t>Estado registrado. Pendiente evidencia.</w:t>
      </w:r>
    </w:p>
    <w:p>
      <w:pPr>
        <w:pStyle w:val="Heading3"/>
      </w:pPr>
      <w:bookmarkStart w:id="112" w:name="h112"/>
      <w:r>
        <w:t>7.105 CP 101 Foco y reducción de movimiento</w:t>
      </w:r>
      <w:bookmarkEnd w:id="112"/>
    </w:p>
    <w:p>
      <w:r>
        <w:t>Módulo. Accesibilidad.</w:t>
      </w:r>
    </w:p>
    <w:p>
      <w:r>
        <w:t>Procedimiento de la fuente. Navegar con teclado por botones, campos, filtros y enlaces en ambos temas; activar reducción de movimiento del sistema.</w:t>
      </w:r>
    </w:p>
    <w:p>
      <w:r>
        <w:t>Resultado esperado. El foco es visible en cada control y la interfaz elimina transiciones no esenciales cuando el sistema solicita menos movimiento.</w:t>
      </w:r>
    </w:p>
    <w:p>
      <w:r>
        <w:t>Estado registrado. Pendiente evidencia.</w:t>
      </w:r>
    </w:p>
    <w:p>
      <w:pPr>
        <w:pStyle w:val="Heading3"/>
      </w:pPr>
      <w:bookmarkStart w:id="113" w:name="h113"/>
      <w:r>
        <w:t>7.106 CP 102 Ayuda contextual</w:t>
      </w:r>
      <w:bookmarkEnd w:id="113"/>
    </w:p>
    <w:p>
      <w:r>
        <w:t>Módulo. Experiencia.</w:t>
      </w:r>
    </w:p>
    <w:p>
      <w:r>
        <w:t>Procedimiento de la fuente. Abrir las ayudas de Vender, Inventario y Clientes.</w:t>
      </w:r>
    </w:p>
    <w:p>
      <w:r>
        <w:t>Resultado esperado. Cada ayuda explica el flujo propio de la sección en lenguaje simple, puede abrirse o cerrarse y no bloquea la tarea principal.</w:t>
      </w:r>
    </w:p>
    <w:p>
      <w:r>
        <w:t>Estado registrado. Pendiente evidencia.</w:t>
      </w:r>
    </w:p>
    <w:p>
      <w:pPr>
        <w:pStyle w:val="Heading3"/>
      </w:pPr>
      <w:bookmarkStart w:id="114" w:name="h114"/>
      <w:r>
        <w:t>7.107 CP 103 Puesta en marcha</w:t>
      </w:r>
      <w:bookmarkEnd w:id="114"/>
    </w:p>
    <w:p>
      <w:r>
        <w:t>Módulo. Inicio.</w:t>
      </w:r>
    </w:p>
    <w:p>
      <w:r>
        <w:t>Procedimiento de la fuente. Ingresar como dueño con catálogo vacío y luego con catálogo sin ventas.</w:t>
      </w:r>
    </w:p>
    <w:p>
      <w:r>
        <w:t>Resultado esperado. Inicio muestra únicamente los pasos pendientes para cargar productos y realizar la primera venta; cada paso abre el flujo existente.</w:t>
      </w:r>
    </w:p>
    <w:p>
      <w:r>
        <w:t>Estado registrado. Pendiente evidencia.</w:t>
      </w:r>
    </w:p>
    <w:p>
      <w:pPr>
        <w:pStyle w:val="Heading3"/>
      </w:pPr>
      <w:bookmarkStart w:id="115" w:name="h115"/>
      <w:r>
        <w:t>7.108 CP 104 Indicadores operativos</w:t>
      </w:r>
      <w:bookmarkEnd w:id="115"/>
    </w:p>
    <w:p>
      <w:r>
        <w:t>Módulo. Inicio.</w:t>
      </w:r>
    </w:p>
    <w:p>
      <w:r>
        <w:t>Procedimiento de la fuente. Registrar ventas y revisar Inicio.</w:t>
      </w:r>
    </w:p>
    <w:p>
      <w:r>
        <w:t>Resultado esperado. Muestra producto más vendido, tamaño y categorías del catálogo y valor estimado del stock usando datos del negocio.</w:t>
      </w:r>
    </w:p>
    <w:p>
      <w:r>
        <w:t>Estado registrado. Pendiente evidencia.</w:t>
      </w:r>
    </w:p>
    <w:p>
      <w:pPr>
        <w:pStyle w:val="Heading3"/>
      </w:pPr>
      <w:bookmarkStart w:id="116" w:name="h116"/>
      <w:r>
        <w:t>7.109 CP 105 Historial del turno</w:t>
      </w:r>
      <w:bookmarkEnd w:id="116"/>
    </w:p>
    <w:p>
      <w:r>
        <w:t>Módulo. Caja.</w:t>
      </w:r>
    </w:p>
    <w:p>
      <w:r>
        <w:t>Procedimiento de la fuente. Abrir caja, registrar ingreso, gasto y retiro.</w:t>
      </w:r>
    </w:p>
    <w:p>
      <w:r>
        <w:t>Resultado esperado. El historial lista tipo, motivo, categoría, monto, hora y usuario de cada movimiento del turno abierto.</w:t>
      </w:r>
    </w:p>
    <w:p>
      <w:r>
        <w:t>Estado registrado. Pendiente evidencia.</w:t>
      </w:r>
    </w:p>
    <w:p>
      <w:pPr>
        <w:pStyle w:val="Heading3"/>
      </w:pPr>
      <w:bookmarkStart w:id="117" w:name="h117"/>
      <w:r>
        <w:t>7.110 CP 106 Búsqueda global</w:t>
      </w:r>
      <w:bookmarkEnd w:id="117"/>
    </w:p>
    <w:p>
      <w:r>
        <w:t>Módulo. Búsqueda.</w:t>
      </w:r>
    </w:p>
    <w:p>
      <w:r>
        <w:t>Procedimiento de la fuente. Usar Buscar desde escritorio y menú móvil con producto, cliente, código y venta.</w:t>
      </w:r>
    </w:p>
    <w:p>
      <w:r>
        <w:t>Resultado esperado. Los resultados son del negocio actual y dirigen al módulo correspondiente sin exponer datos no autorizados al vendedor.</w:t>
      </w:r>
    </w:p>
    <w:p>
      <w:r>
        <w:t>Estado registrado. Pendiente evidencia.</w:t>
      </w:r>
    </w:p>
    <w:p>
      <w:pPr>
        <w:pStyle w:val="Heading3"/>
      </w:pPr>
      <w:bookmarkStart w:id="118" w:name="h118"/>
      <w:r>
        <w:t>7.111 CP 107 Confirmaciones críticas</w:t>
      </w:r>
      <w:bookmarkEnd w:id="118"/>
    </w:p>
    <w:p>
      <w:r>
        <w:t>Módulo. Seguridad operativa.</w:t>
      </w:r>
    </w:p>
    <w:p>
      <w:r>
        <w:t>Procedimiento de la fuente. Intentar desactivar producto/cliente, eliminar usuario y cerrar caja.</w:t>
      </w:r>
    </w:p>
    <w:p>
      <w:r>
        <w:t>Resultado esperado. Explica el efecto de la acción y permite volver; solo ejecuta después de confirmar explícitamente.</w:t>
      </w:r>
    </w:p>
    <w:p>
      <w:r>
        <w:t>Estado registrado. Pendiente evidencia.</w:t>
      </w:r>
    </w:p>
    <w:p>
      <w:pPr>
        <w:pStyle w:val="Heading3"/>
      </w:pPr>
      <w:bookmarkStart w:id="119" w:name="h119"/>
      <w:r>
        <w:t>7.112 CP 108 Guion de demostración</w:t>
      </w:r>
      <w:bookmarkEnd w:id="119"/>
    </w:p>
    <w:p>
      <w:r>
        <w:t>Módulo. Tesis.</w:t>
      </w:r>
    </w:p>
    <w:p>
      <w:r>
        <w:t>Procedimiento de la fuente. Seguir el documento de demostración desde una cuenta demo.</w:t>
      </w:r>
    </w:p>
    <w:p>
      <w:r>
        <w:t>Resultado esperado. El recorrido cubre Inicio, Inventario, Venta, Venta Rápida, Clientes, Caja y Reportes sin requerir cobros reales.</w:t>
      </w:r>
    </w:p>
    <w:p>
      <w:r>
        <w:t>Estado registrado. Pendiente evidencia.</w:t>
      </w:r>
    </w:p>
    <w:p>
      <w:pPr>
        <w:pStyle w:val="Heading3"/>
      </w:pPr>
      <w:bookmarkStart w:id="120" w:name="h120"/>
      <w:r>
        <w:t>7.113 CP 109 Filtros  comparativas y exportación</w:t>
      </w:r>
      <w:bookmarkEnd w:id="120"/>
    </w:p>
    <w:p>
      <w:r>
        <w:t>Módulo. Reportes.</w:t>
      </w:r>
    </w:p>
    <w:p>
      <w:r>
        <w:t>Procedimiento de la fuente. Filtrar por mes, vendedor y categoría; guardar una vista; comparar el mes anterior y exportar CSV.</w:t>
      </w:r>
    </w:p>
    <w:p>
      <w:r>
        <w:t>Resultado esperado. Las métricas, gráficos, alertas y CSV reflejan los filtros activos. El filtro guardado solo está disponible en el mismo local y navegador.</w:t>
      </w:r>
    </w:p>
    <w:p>
      <w:r>
        <w:t>Estado registrado. Pendiente evidencia.</w:t>
      </w:r>
    </w:p>
    <w:p>
      <w:pPr>
        <w:pStyle w:val="Heading1"/>
      </w:pPr>
      <w:bookmarkStart w:id="121" w:name="h121"/>
      <w:r>
        <w:t>8 Casos adicionales de arquitectura y calidad</w:t>
      </w:r>
      <w:bookmarkEnd w:id="121"/>
    </w:p>
    <w:p>
      <w:r>
        <w:t>Se proponen casos PostgreSQL de reintento simultáneo, última unidad con dos vendedores, rechazo sin efecto parcial y aislamiento de recursos. También restauración, pérdida de respuesta después de confirmar, cierre con varias cuentas y cambios de precio mientras una venta permanece offline. Estos casos amplían la campaña y siguen pendientes.</w:t>
      </w:r>
    </w:p>
    <w:p>
      <w:r>
        <w:t>La IA necesita comprobar respuesta desconocida, cantidades inválidas, catálogo vacío, proveedor sin clave y límite externo. La propuesta debe mantenerse editable. Las pruebas de accesibilidad examinan teclado y foco en los flujos principales. Los RNF con umbrales propuestos requieren aceptar primero las condiciones de medición.</w:t>
      </w:r>
    </w:p>
    <w:p>
      <w:pPr>
        <w:pStyle w:val="Heading1"/>
      </w:pPr>
      <w:bookmarkStart w:id="122" w:name="h122"/>
      <w:r>
        <w:t>9 Evidencia histórica y límites</w:t>
      </w:r>
      <w:bookmarkEnd w:id="122"/>
    </w:p>
    <w:p>
      <w:r>
        <w:t>Los documentos de estado y operación describen ejecuciones locales previas con cantidades de pruebas en distintos cortes. Se conservan como antecedentes; no se fusionan en un nuevo total de pruebas aprobadas. Una prueba local de un pool de una conexión no sustituye el caso real productivo de anulación o devolución.</w:t>
      </w:r>
    </w:p>
    <w:p>
      <w:r>
        <w:t>La evidencia pendiente incluye PostgreSQL integral, restauración, dispositivos físicos, usuarios y concurrencia. La documentación desarrollada ayuda a ejecutarlas y a informar el resultado. Un caso con evidencia pendiente no se marca aprobado aunque el mecanismo exista en código.</w:t>
      </w:r>
    </w:p>
    <w:p>
      <w:pPr>
        <w:pStyle w:val="Heading1"/>
      </w:pPr>
      <w:bookmarkStart w:id="123" w:name="h123"/>
      <w:r>
        <w:t>10 Campaña complementaria de integración y validación</w:t>
      </w:r>
      <w:bookmarkEnd w:id="123"/>
    </w:p>
    <w:p>
      <w:r>
        <w:t>Todos los casos siguientes están pendientes de ejecución. Deben conservar fecha, commit, configuración, ejecutor, datos iniciales, resultado real, evidencia y limpieza. Se usan ambientes y datos aislados.</w:t>
      </w:r>
    </w:p>
    <w:p>
      <w:pPr>
        <w:pStyle w:val="Heading3"/>
      </w:pPr>
      <w:bookmarkStart w:id="124" w:name="h124"/>
      <w:r>
        <w:t>10.1 CP 114 Concurrencia por última unidad</w:t>
      </w:r>
      <w:bookmarkEnd w:id="124"/>
    </w:p>
    <w:p>
      <w:r>
        <w:t>Precondiciones. PostgreSQL de prueba, dos sesiones de venta y producto con stock uno.</w:t>
      </w:r>
    </w:p>
    <w:p>
      <w:r>
        <w:t>Procedimiento. Enviar dos ventas de una unidad a la vez, con claves distintas; repetir al menos veinte veces reiniciando el dato controlado.</w:t>
      </w:r>
    </w:p>
    <w:p>
      <w:r>
        <w:t>Resultado esperado. Una venta confirmada y otra rechazada; stock cero, sin negativos ni doble descuento.</w:t>
      </w:r>
    </w:p>
    <w:p>
      <w:r>
        <w:t>Estado. Pendiente. Resultado obtenido: por registrar. Evidencia: por adjuntar. Restaurar el dato de prueba o destruir el ambiente aislado al finalizar.</w:t>
      </w:r>
    </w:p>
    <w:p>
      <w:pPr>
        <w:pStyle w:val="Heading3"/>
      </w:pPr>
      <w:bookmarkStart w:id="125" w:name="h125"/>
      <w:r>
        <w:t>10.2 CP 115 Idempotencia concurrente</w:t>
      </w:r>
      <w:bookmarkEnd w:id="125"/>
    </w:p>
    <w:p>
      <w:r>
        <w:t>Precondiciones. PostgreSQL aislado y ticket válido con clave única de campaña.</w:t>
      </w:r>
    </w:p>
    <w:p>
      <w:r>
        <w:t>Procedimiento. Enviar diez solicitudes simultáneas con la misma clave; consultar ventas y movimientos por la operación.</w:t>
      </w:r>
    </w:p>
    <w:p>
      <w:r>
        <w:t>Resultado esperado. Una sola venta y un solo conjunto de efectos; las respuestas se relacionan con la misma operación o con un conflicto controlado recuperable.</w:t>
      </w:r>
    </w:p>
    <w:p>
      <w:r>
        <w:t>Estado. Pendiente. Resultado obtenido: por registrar. Evidencia: por adjuntar. Restaurar el dato de prueba o destruir el ambiente aislado al finalizar.</w:t>
      </w:r>
    </w:p>
    <w:p>
      <w:pPr>
        <w:pStyle w:val="Heading3"/>
      </w:pPr>
      <w:bookmarkStart w:id="126" w:name="h126"/>
      <w:r>
        <w:t>10.3 CP 116 Rollback de venta inválida</w:t>
      </w:r>
      <w:bookmarkEnd w:id="126"/>
    </w:p>
    <w:p>
      <w:r>
        <w:t>Precondiciones. Dos productos: uno suficiente y otro sin stock.</w:t>
      </w:r>
    </w:p>
    <w:p>
      <w:r>
        <w:t>Procedimiento. Confirmar un ticket que incluya ambos; comparar stock, deuda, caja y ventas antes y después.</w:t>
      </w:r>
    </w:p>
    <w:p>
      <w:r>
        <w:t>Resultado esperado. Rechazo completo y ningún efecto parcial en tablas persistentes.</w:t>
      </w:r>
    </w:p>
    <w:p>
      <w:r>
        <w:t>Estado. Pendiente. Resultado obtenido: por registrar. Evidencia: por adjuntar. Restaurar el dato de prueba o destruir el ambiente aislado al finalizar.</w:t>
      </w:r>
    </w:p>
    <w:p>
      <w:pPr>
        <w:pStyle w:val="Heading3"/>
      </w:pPr>
      <w:bookmarkStart w:id="127" w:name="h127"/>
      <w:r>
        <w:t>10.4 CP 117 Aislamiento persistente</w:t>
      </w:r>
      <w:bookmarkEnd w:id="127"/>
    </w:p>
    <w:p>
      <w:r>
        <w:t>Precondiciones. Dos negocios con dueños y productos propios en PostgreSQL.</w:t>
      </w:r>
    </w:p>
    <w:p>
      <w:r>
        <w:t>Procedimiento. Con token A consultar y modificar identificadores de B; cambiar cabecera de negocio y probar venta con producto ajeno.</w:t>
      </w:r>
    </w:p>
    <w:p>
      <w:r>
        <w:t>Resultado esperado. Ningún dato de B expuesto o cambiado; rechazo sin efectos y registros atribuibles al negocio correcto.</w:t>
      </w:r>
    </w:p>
    <w:p>
      <w:r>
        <w:t>Estado. Pendiente. Resultado obtenido: por registrar. Evidencia: por adjuntar. Restaurar el dato de prueba o destruir el ambiente aislado al finalizar.</w:t>
      </w:r>
    </w:p>
    <w:p>
      <w:pPr>
        <w:pStyle w:val="Heading3"/>
      </w:pPr>
      <w:bookmarkStart w:id="128" w:name="h128"/>
      <w:r>
        <w:t>10.5 CP 118 Respaldo y restauración</w:t>
      </w:r>
      <w:bookmarkEnd w:id="128"/>
    </w:p>
    <w:p>
      <w:r>
        <w:t>Precondiciones. Base de prueba con ventas, abonos y compras; destino nuevo vacío.</w:t>
      </w:r>
    </w:p>
    <w:p>
      <w:r>
        <w:t>Procedimiento. Generar pg_dump, registrar hora y hash; restaurar en destino aislado; comparar conteos, sumas, claves y operaciones de lectura.</w:t>
      </w:r>
    </w:p>
    <w:p>
      <w:r>
        <w:t>Resultado esperado. Restauración completa y coherente; medir duración y pérdida temporal respecto al respaldo. Comparar con RTO/RPO acordados, sin inventar aprobación.</w:t>
      </w:r>
    </w:p>
    <w:p>
      <w:r>
        <w:t>Estado. Pendiente. Resultado obtenido: por registrar. Evidencia: por adjuntar. Restaurar el dato de prueba o destruir el ambiente aislado al finalizar.</w:t>
      </w:r>
    </w:p>
    <w:p>
      <w:pPr>
        <w:pStyle w:val="Heading3"/>
      </w:pPr>
      <w:bookmarkStart w:id="129" w:name="h129"/>
      <w:r>
        <w:t>10.6 CP 119 Respuesta perdida tras confirmar</w:t>
      </w:r>
      <w:bookmarkEnd w:id="129"/>
    </w:p>
    <w:p>
      <w:r>
        <w:t>Precondiciones. Ambiente de prueba y mecanismo controlado para cortar la respuesta sin cancelar el commit.</w:t>
      </w:r>
    </w:p>
    <w:p>
      <w:r>
        <w:t>Procedimiento. Confirmar una venta, interrumpir recepción de respuesta y reintentar con la misma clave; consultar estado definitivo.</w:t>
      </w:r>
    </w:p>
    <w:p>
      <w:r>
        <w:t>Resultado esperado. Una operación, stock descontado una vez y recuperación visible para el usuario.</w:t>
      </w:r>
    </w:p>
    <w:p>
      <w:r>
        <w:t>Estado. Pendiente. Resultado obtenido: por registrar. Evidencia: por adjuntar. Restaurar el dato de prueba o destruir el ambiente aislado al finalizar.</w:t>
      </w:r>
    </w:p>
    <w:p>
      <w:pPr>
        <w:pStyle w:val="Heading3"/>
      </w:pPr>
      <w:bookmarkStart w:id="130" w:name="h130"/>
      <w:r>
        <w:t>10.7 CP 120 Precio cambiado durante cola offline</w:t>
      </w:r>
      <w:bookmarkEnd w:id="130"/>
    </w:p>
    <w:p>
      <w:r>
        <w:t>Precondiciones. Ticket local pendiente y dueño con capacidad de cambiar el catálogo.</w:t>
      </w:r>
    </w:p>
    <w:p>
      <w:r>
        <w:t>Procedimiento. Crear ticket sin red, cambiar precio o stock desde otra sesión y volver a conectar; registrar propuesta y decisión del servidor.</w:t>
      </w:r>
    </w:p>
    <w:p>
      <w:r>
        <w:t>Resultado esperado. Aplicación explícita de reglas vigentes, sin precio obsoleto aceptado silenciosamente ni doble venta.</w:t>
      </w:r>
    </w:p>
    <w:p>
      <w:r>
        <w:t>Estado. Pendiente. Resultado obtenido: por registrar. Evidencia: por adjuntar. Restaurar el dato de prueba o destruir el ambiente aislado al finalizar.</w:t>
      </w:r>
    </w:p>
    <w:p>
      <w:pPr>
        <w:pStyle w:val="Heading3"/>
      </w:pPr>
      <w:bookmarkStart w:id="131" w:name="h131"/>
      <w:r>
        <w:t>10.8 CP 121 Cámara e instalación móvil</w:t>
      </w:r>
      <w:bookmarkEnd w:id="131"/>
    </w:p>
    <w:p>
      <w:r>
        <w:t>Precondiciones. Un equipo iOS y uno Android físicos, HTTPS y catálogo sintético.</w:t>
      </w:r>
    </w:p>
    <w:p>
      <w:r>
        <w:t>Procedimiento. Anotar modelo y versión; abrir e instalar PWA; permitir y denegar cámara, buscar código y fotografiar producto; repetir tras reabrir.</w:t>
      </w:r>
    </w:p>
    <w:p>
      <w:r>
        <w:t>Resultado esperado. Flujo usable, errores comprensibles y alternativa manual; documentar diferencias de plataforma, sin extrapolar a todos los equipos.</w:t>
      </w:r>
    </w:p>
    <w:p>
      <w:r>
        <w:t>Estado. Pendiente. Resultado obtenido: por registrar. Evidencia: por adjuntar. Restaurar el dato de prueba o destruir el ambiente aislado al finalizar.</w:t>
      </w:r>
    </w:p>
    <w:p>
      <w:pPr>
        <w:pStyle w:val="Heading3"/>
      </w:pPr>
      <w:bookmarkStart w:id="132" w:name="h132"/>
      <w:r>
        <w:t>10.9 CP 122 Tareas con comerciantes</w:t>
      </w:r>
      <w:bookmarkEnd w:id="132"/>
    </w:p>
    <w:p>
      <w:r>
        <w:t>Precondiciones. Consentimiento informado, catálogo de prueba e instrumentos UAT01–07.</w:t>
      </w:r>
    </w:p>
    <w:p>
      <w:r>
        <w:t>Procedimiento. Aplicar las tareas sin enseñar previamente la respuesta; registrar finalización, ayuda, errores, tiempo y comentarios según el protocolo.</w:t>
      </w:r>
    </w:p>
    <w:p>
      <w:r>
        <w:t>Resultado esperado. Resultados observados y anonimizados; aceptación solo según criterios previamente acordados, no por una opinión favorable aislada.</w:t>
      </w:r>
    </w:p>
    <w:p>
      <w:r>
        <w:t>Estado. Pendiente. Resultado obtenido: por registrar. Evidencia: por adjuntar. Restaurar el dato de prueba o destruir el ambiente aislado al finalizar.</w:t>
      </w:r>
    </w:p>
    <w:p>
      <w:pPr>
        <w:pStyle w:val="Heading3"/>
      </w:pPr>
      <w:bookmarkStart w:id="133" w:name="h133"/>
      <w:r>
        <w:t>10.10 CP 123 Carga y latencia</w:t>
      </w:r>
      <w:bookmarkEnd w:id="133"/>
    </w:p>
    <w:p>
      <w:r>
        <w:t>Precondiciones. PostgreSQL de prueba, 1.000 productos sintéticos y 10 usuarios concurrentes; objetivo propuesto p95 menor a 2 s.</w:t>
      </w:r>
    </w:p>
    <w:p>
      <w:r>
        <w:t>Procedimiento. Separar calentamiento de diez minutos medidos; combinar consultas y ventas válidas, registrar latencias, errores y stock; repetir tres veces.</w:t>
      </w:r>
    </w:p>
    <w:p>
      <w:r>
        <w:t>Resultado esperado. Sin errores de integridad; informar p50, p95, p99, tasa de errores y recursos. El umbral requiere acuerdo antes de marcar aprobación.</w:t>
      </w:r>
    </w:p>
    <w:p>
      <w:r>
        <w:t>Estado. Pendiente. Resultado obtenido: por registrar. Evidencia: por adjuntar. Restaurar el dato de prueba o destruir el ambiente aislado al finalizar.</w:t>
      </w:r>
    </w:p>
    <w:p>
      <w:pPr>
        <w:pStyle w:val="Heading1"/>
      </w:pPr>
      <w:bookmarkStart w:id="134" w:name="h134"/>
      <w:r>
        <w:t>11 Campaña ejecutada del 04 de octubre</w:t>
      </w:r>
      <w:bookmarkEnd w:id="134"/>
    </w:p>
    <w:p>
      <w:r>
        <w:t>El Informe de verificación conserva el detalle reproducible de 78 pruebas automatizadas y 12 casos HTTP aprobados. La Matriz de trazabilidad relaciona esas comprobaciones con los RF y HU. La campaña utiliza memoria y dobles de servicios; no cierra los CP persistentes ni la aceptación de usuarios.</w:t>
      </w:r>
    </w:p>
    <w:p>
      <w:pPr>
        <w:pStyle w:val="Heading1"/>
      </w:pPr>
      <w:bookmarkStart w:id="135" w:name="h135"/>
      <w:r>
        <w:t>12 Conclusiones</w:t>
      </w:r>
      <w:bookmarkEnd w:id="135"/>
    </w:p>
    <w:p>
      <w:r>
        <w:t>El plan permite repetir comprobaciones y sostener aceptación por requisito. La entrega mejora la descripción de casos y conserva sus estados. La campaña AUT/HTTP aporta evidencia ejecutada sobre reglas e integración local; los casos manuales y persistentes mantienen sus estados específicos.</w:t>
      </w:r>
    </w:p>
    <w:p>
      <w:pPr>
        <w:pStyle w:val="Heading1"/>
      </w:pPr>
      <w:bookmarkStart w:id="136" w:name="h136"/>
      <w:r>
        <w:t>13 Referencias</w:t>
      </w:r>
      <w:bookmarkEnd w:id="136"/>
    </w:p>
    <w:p>
      <w:r>
        <w:t>La evidencia del proyecto corresponde a la revisión versionada del repositorio (Equipo Localito, 2026). Las normas se consultaron mediante sus resúmenes públicos; no se declara certificación. Las fuentes web fueron consultadas durante esta revisión, del 03 al 04 de octubre de 2026.</w:t>
      </w:r>
    </w:p>
    <w:p>
      <w:pPr>
        <w:keepLines/>
        <w:ind w:left="432" w:hanging="432"/>
      </w:pPr>
      <w:r>
        <w:t xml:space="preserve">Equipo Localito (2026). </w:t>
      </w:r>
      <w:r>
        <w:rPr>
          <w:i/>
        </w:rPr>
        <w:t>LocalitoSaaS [Código y documentación, commit ddb9956cf35cfb2035f62528299fd6bb2c9b7d5c]</w:t>
      </w:r>
      <w:r>
        <w:t xml:space="preserve">. </w:t>
      </w:r>
      <w:hyperlink r:id="rId11">
        <w:r>
          <w:rPr>
            <w:color w:val="000000"/>
          </w:rPr>
          <w:t xml:space="preserve">https://github.com/CamiloGonzalezSt/LocalitoSaaS/tree/ddb9956cf35cfb2035f62528299fd6bb2c9b7d5c</w:t>
        </w:r>
      </w:hyperlink>
    </w:p>
    <w:p>
      <w:pPr>
        <w:keepLines/>
        <w:ind w:left="432" w:hanging="432"/>
      </w:pPr>
      <w:r>
        <w:t xml:space="preserve">Node.js (s. f.). </w:t>
      </w:r>
      <w:r>
        <w:rPr>
          <w:i/>
        </w:rPr>
        <w:t>Test runner</w:t>
      </w:r>
      <w:r>
        <w:t xml:space="preserve">. </w:t>
      </w:r>
      <w:hyperlink r:id="rId12">
        <w:r>
          <w:rPr>
            <w:color w:val="000000"/>
          </w:rPr>
          <w:t xml:space="preserve">https://nodejs.org/api/test.html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195" w:right="1296" w:bottom="1195" w:left="1296" w:header="518" w:footer="51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Página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0"/>
    </w:pPr>
    <w:r>
      <w:rPr>
        <w:color w:val="000000"/>
        <w:sz w:val="16"/>
      </w:rPr>
      <w:t>LOCALITO   |   Plan de pruebas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40" w:line="274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40"/>
      <w:outlineLvl w:val="2"/>
    </w:pPr>
    <w:rPr>
      <w:rFonts w:asciiTheme="majorHAnsi" w:eastAsiaTheme="majorEastAsia" w:hAnsiTheme="majorHAnsi" w:cstheme="majorBidi" w:ascii="Calibri" w:hAnsi="Calibri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40" w:lineRule="auto" w:before="200"/>
      <w:contextualSpacing/>
    </w:pPr>
    <w:rPr>
      <w:rFonts w:asciiTheme="majorHAnsi" w:eastAsiaTheme="majorEastAsia" w:hAnsiTheme="majorHAnsi" w:cstheme="majorBidi" w:ascii="Calibri" w:hAnsi="Calibri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200" w:after="140"/>
    </w:pPr>
    <w:rPr>
      <w:rFonts w:asciiTheme="majorHAnsi" w:eastAsiaTheme="majorEastAsia" w:hAnsiTheme="majorHAnsi" w:cstheme="majorBidi" w:ascii="Calibri" w:hAnsi="Calibri"/>
      <w:b w:val="0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Calibri" w:hAnsi="Calibri"/>
      <w:b/>
      <w:bCs/>
      <w:color w:val="000000"/>
      <w:sz w:val="19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1">
    <w:name w:val="TOC 1"/>
    <w:pPr>
      <w:tabs>
        <w:tab w:pos="9648" w:val="right" w:leader="dot"/>
      </w:tabs>
      <w:spacing w:after="100" w:line="254" w:lineRule="auto"/>
      <w:ind w:left="0"/>
    </w:pPr>
    <w:rPr>
      <w:rFonts w:ascii="Calibri" w:hAnsi="Calibri"/>
      <w:color w:val="000000"/>
      <w:sz w:val="21"/>
    </w:rPr>
  </w:style>
  <w:style w:type="paragraph" w:customStyle="1" w:styleId="TOC2">
    <w:name w:val="TOC 2"/>
    <w:pPr>
      <w:tabs>
        <w:tab w:pos="9648" w:val="right" w:leader="dot"/>
      </w:tabs>
      <w:spacing w:after="100" w:line="254" w:lineRule="auto"/>
      <w:ind w:left="274"/>
    </w:pPr>
    <w:rPr>
      <w:rFonts w:ascii="Calibri" w:hAnsi="Calibri"/>
      <w:color w:val="000000"/>
      <w:sz w:val="21"/>
    </w:rPr>
  </w:style>
  <w:style w:type="paragraph" w:customStyle="1" w:styleId="Code">
    <w:name w:val="Code"/>
    <w:pPr>
      <w:widowControl/>
      <w:spacing w:line="252" w:lineRule="auto" w:after="40" w:before="0"/>
    </w:pPr>
    <w:rPr>
      <w:rFonts w:ascii="DejaVu Sans Mono" w:hAnsi="DejaVu Sans Mono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CamiloGonzalezSt/LocalitoSaaS/tree/ddb9956cf35cfb2035f62528299fd6bb2c9b7d5c" TargetMode="External"/><Relationship Id="rId12" Type="http://schemas.openxmlformats.org/officeDocument/2006/relationships/hyperlink" Target="https://nodejs.org/api/test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pruebas de Localito</dc:title>
  <dc:subject>Proyecto Capstone Localito Duoc UC Plaza Norte</dc:subject>
  <dc:creator>Camilo González, Alexander Patiño y Samuel Solís</dc:creator>
  <cp:keywords>Localito, tesis, Capstone, documentación técnica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