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6F5F"/>
          <w:sz w:val="64"/>
        </w:rPr>
        <w:t>LOCALITO</w:t>
      </w:r>
    </w:p>
    <w:p>
      <w:pPr>
        <w:jc w:val="center"/>
      </w:pPr>
      <w:r>
        <w:rPr>
          <w:rFonts w:ascii="Arial" w:hAnsi="Arial"/>
          <w:b/>
          <w:color w:val="1F2937"/>
          <w:sz w:val="38"/>
        </w:rPr>
        <w:t>Validación SAAM</w:t>
      </w:r>
    </w:p>
    <w:p>
      <w:pPr>
        <w:jc w:val="center"/>
      </w:pPr>
      <w:r>
        <w:rPr>
          <w:rFonts w:ascii="Arial" w:hAnsi="Arial"/>
          <w:color w:val="475569"/>
          <w:sz w:val="22"/>
        </w:rPr>
        <w:t>Versión visual de comisión</w:t>
      </w:r>
    </w:p>
    <w:p/>
    <w:p>
      <w:pPr>
        <w:jc w:val="center"/>
      </w:pPr>
      <w:r>
        <w:rPr>
          <w:rFonts w:ascii="Arial" w:hAnsi="Arial"/>
          <w:sz w:val="20"/>
        </w:rPr>
        <w:t>Equipo: Camilo González · Alexander Patiño · Samuel Solís</w:t>
        <w:br/>
        <w:t>Septiembre 2026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3F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rial" w:hAnsi="Arial"/>
                <w:color w:val="1F2937"/>
                <w:sz w:val="19"/>
              </w:rPr>
              <w:t>SAAM se usa para razonar sobre cambios futuros y visualizar cuáles son locales y cuáles atraviesan gran parte de la solución.</w:t>
            </w:r>
          </w:p>
        </w:tc>
      </w:tr>
    </w:tbl>
    <w:p>
      <w:pPr>
        <w:pStyle w:val="Heading1"/>
      </w:pPr>
      <w:r>
        <w:t>1. Arquitectura base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1668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Vista_Logica_Component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668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475569"/>
          <w:sz w:val="17"/>
        </w:rPr>
        <w:t>Figura 1. Base del análisis SAAM.</w:t>
      </w:r>
    </w:p>
    <w:p>
      <w:pPr>
        <w:pStyle w:val="Heading1"/>
      </w:pPr>
      <w:r>
        <w:t>2. Lectura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456"/>
            <w:shd w:fill="1F6F5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Escenario</w:t>
            </w:r>
          </w:p>
        </w:tc>
        <w:tc>
          <w:tcPr>
            <w:tcW w:type="dxa" w:w="6048"/>
            <w:shd w:fill="1F6F5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Impacto</w:t>
            </w:r>
          </w:p>
        </w:tc>
        <w:tc>
          <w:tcPr>
            <w:tcW w:type="dxa" w:w="1296"/>
            <w:shd w:fill="1F6F5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Tipo</w:t>
            </w:r>
          </w:p>
        </w:tc>
      </w:tr>
      <w:tr>
        <w:tc>
          <w:tcPr>
            <w:tcW w:type="dxa" w:w="345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Cambiar proveedor IA</w:t>
            </w:r>
          </w:p>
        </w:tc>
        <w:tc>
          <w:tcPr>
            <w:tcW w:type="dxa" w:w="604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Cambio concentrado en integración backend y validación de respuestas.</w:t>
            </w:r>
          </w:p>
        </w:tc>
        <w:tc>
          <w:tcPr>
            <w:tcW w:type="dxa" w:w="129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Directo</w:t>
            </w:r>
          </w:p>
        </w:tc>
      </w:tr>
      <w:tr>
        <w:tc>
          <w:tcPr>
            <w:tcW w:type="dxa" w:w="345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Agregar campo de producto</w:t>
            </w:r>
          </w:p>
        </w:tc>
        <w:tc>
          <w:tcPr>
            <w:tcW w:type="dxa" w:w="604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Impacta shared, persistencia, repository y UI.</w:t>
            </w:r>
          </w:p>
        </w:tc>
        <w:tc>
          <w:tcPr>
            <w:tcW w:type="dxa" w:w="129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Directo</w:t>
            </w:r>
          </w:p>
        </w:tc>
      </w:tr>
      <w:tr>
        <w:tc>
          <w:tcPr>
            <w:tcW w:type="dxa" w:w="345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Pagos reales con webhooks</w:t>
            </w:r>
          </w:p>
        </w:tc>
        <w:tc>
          <w:tcPr>
            <w:tcW w:type="dxa" w:w="604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Afecta seguridad, dominio de pagos, observabilidad y conciliación.</w:t>
            </w:r>
          </w:p>
        </w:tc>
        <w:tc>
          <w:tcPr>
            <w:tcW w:type="dxa" w:w="129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Indirecto</w:t>
            </w:r>
          </w:p>
        </w:tc>
      </w:tr>
      <w:tr>
        <w:tc>
          <w:tcPr>
            <w:tcW w:type="dxa" w:w="345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Offline completo</w:t>
            </w:r>
          </w:p>
        </w:tc>
        <w:tc>
          <w:tcPr>
            <w:tcW w:type="dxa" w:w="604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Cruza múltiples dominios y resolución de conflictos.</w:t>
            </w:r>
          </w:p>
        </w:tc>
        <w:tc>
          <w:tcPr>
            <w:tcW w:type="dxa" w:w="1296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Indirecto</w:t>
            </w:r>
          </w:p>
        </w:tc>
      </w:tr>
    </w:tbl>
    <w:p>
      <w:pPr>
        <w:pStyle w:val="Heading1"/>
      </w:pPr>
      <w:r>
        <w:t>Fuentes base utilizadas</w:t>
      </w:r>
    </w:p>
    <w:p>
      <w:pPr>
        <w:pStyle w:val="ListBullet"/>
      </w:pPr>
      <w:r>
        <w:t>Repositorio LocalitoSaaS: README.md, docs/Estado-Actual.md, docs/Alcance-Tesis.md, docs/Backlog-Scrum-Jira.md y Documento-Proyecto-Localito.md.</w:t>
      </w:r>
    </w:p>
    <w:p>
      <w:pPr>
        <w:pStyle w:val="ListBullet"/>
      </w:pPr>
      <w:r>
        <w:t>Repositorio LocalitoSaaS: package.json, apps/web/package.json, apps/api/package.json, db/schema.sql y estructura de apps/api/src.</w:t>
      </w:r>
    </w:p>
    <w:p>
      <w:pPr>
        <w:pStyle w:val="ListBullet"/>
      </w:pPr>
      <w:r>
        <w:t>Material académico revisado en Drive: DAS, Validación ATAM y Validación SAAM desarrollados durante la carrera.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4748B"/>
        <w:sz w:val="16"/>
      </w:rPr>
      <w:t xml:space="preserve">Ingeniería en Informática · Capstone 2026 · </w:t>
    </w:r>
    <w: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48B"/>
        <w:sz w:val="16"/>
      </w:rPr>
      <w:t>LOCALITO · ARQUITECTURA DE SOFTWARE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6F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37415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6F5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