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2937"/>
          <w:sz w:val="48"/>
        </w:rPr>
        <w:t>Trazabilidad BPM → Scrum – Localito</w:t>
      </w:r>
    </w:p>
    <w:p>
      <w:pPr>
        <w:jc w:val="center"/>
      </w:pPr>
      <w:r>
        <w:rPr>
          <w:rFonts w:ascii="Arial" w:hAnsi="Arial"/>
          <w:color w:val="64748B"/>
          <w:sz w:val="24"/>
        </w:rPr>
        <w:t>Cómo una oportunidad de proceso llega al Product Backlog</w:t>
      </w:r>
    </w:p>
    <w:p>
      <w:pPr>
        <w:spacing w:before="560"/>
        <w:jc w:val="center"/>
      </w:pPr>
      <w:r>
        <w:rPr>
          <w:rFonts w:ascii="Arial" w:hAnsi="Arial"/>
          <w:b/>
          <w:color w:val="1F6F5F"/>
          <w:sz w:val="22"/>
        </w:rPr>
        <w:t>Proyecto de Título / Capstone · Ingeniería en Informática</w:t>
      </w:r>
    </w:p>
    <w:p>
      <w:pPr>
        <w:jc w:val="center"/>
      </w:pPr>
      <w:r>
        <w:rPr>
          <w:sz w:val="20"/>
        </w:rPr>
        <w:t>Equipo: Camilo González · Alexander Patiño · Samuel Solís</w:t>
        <w:br/>
        <w:t>Agosto–diciembre de 2026</w:t>
      </w:r>
    </w:p>
    <w:p>
      <w:r>
        <w:br w:type="page"/>
      </w:r>
    </w:p>
    <w:p>
      <w:pPr>
        <w:pStyle w:val="Heading1"/>
      </w:pPr>
      <w:r>
        <w:t>1. Principio de integración</w:t>
      </w:r>
    </w:p>
    <w:p>
      <w:pPr>
        <w:jc w:val="both"/>
      </w:pPr>
      <w:r>
        <w:t>BPM no crea una segunda metodología de proyecto. Su salida es conocimiento del negocio: problemas, actores, reglas, secuencias e indicadores. Cuando ese análisis exige un cambio de producto, el cambio se expresa como épica, historia o tarea y vuelve al Product Backlog. Scrum mantiene la priorización y el orden de trabajo.</w:t>
      </w:r>
    </w:p>
    <w:p>
      <w:pPr>
        <w:pStyle w:val="Heading1"/>
      </w:pPr>
      <w:r>
        <w:t>2. Matriz de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33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Problema de proceso</w:t>
            </w:r>
          </w:p>
        </w:tc>
        <w:tc>
          <w:tcPr>
            <w:tcW w:type="dxa" w:w="2033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Proceso TO-BE</w:t>
            </w:r>
          </w:p>
        </w:tc>
        <w:tc>
          <w:tcPr>
            <w:tcW w:type="dxa" w:w="2033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2033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Historias / PBI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OP-01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Venta manual con pasos separados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PROC-01 Venta y cobro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EPIC-05 POS y pagos manuales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HU-016, HU-018, HU-019, HU-020, HU-021, HU-022, HU-048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OP-02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Stock y reposición con baja visibilidad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PROC-02 Inventario y reposición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EPIC-04 Inventario y abastecimiento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HU-011, HU-012, HU-013, HU-015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OP-03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Fiado con registro informal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PROC-03 Clientes y fiado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EPIC-06 Clientes y fiado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HU-023, HU-024, HU-025, HU-026, HU-060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OP-04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Conciliación manual de caja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PROC-04 Caja y gastos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EPIC-07 Caja y gastos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HU-027, HU-028, HU-029, HU-030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OP-05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Digitación repetitiva de facturas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PROC-05 Recepción / factura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EPIC-04 Inventario y abastecimiento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HU-013, HU-014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OP-06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Búsqueda uno a uno en ventas con varios productos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PROC-06 Venta Rápida IA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EPIC-08 Venta Rápida e IA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HU-031, HU-032, HU-033, HU-034, HU-035</w:t>
            </w:r>
          </w:p>
        </w:tc>
      </w:tr>
    </w:tbl>
    <w:p>
      <w:pPr>
        <w:pStyle w:val="Heading1"/>
      </w:pPr>
      <w:r>
        <w:t>3. Ejemplo de trazabilidad completa</w:t>
      </w:r>
    </w:p>
    <w:p>
      <w:pPr>
        <w:jc w:val="both"/>
      </w:pPr>
      <w:r>
        <w:t>La conciliación manual de caja se traduce en el proceso TO-BE “Caja y gastos”. Ese proceso se relaciona con la épica EPIC-07 y con las historias de apertura/cierre, movimientos, gastos y conciliación. El resultado esperado se observa mediante diferencias de caja y trazabilidad del turno. Si la prueba concurrente detecta una inconsistencia, la corrección vuelve al backlog como trabajo priorizado, no como una fase separada de “control de cambios”.</w:t>
      </w:r>
    </w:p>
    <w:p>
      <w:pPr>
        <w:pStyle w:val="Heading1"/>
      </w:pPr>
      <w:r>
        <w:t>4. Uso en la defensa</w:t>
      </w:r>
    </w:p>
    <w:p>
      <w:pPr>
        <w:jc w:val="both"/>
      </w:pPr>
      <w:r>
        <w:t>Esta trazabilidad permite responder una pregunta habitual de comisión: “¿por qué existe esta función?”. La respuesta no parte desde la pantalla. Parte desde el proceso y el problema que se intentó mejorar, sigue con el PBI que lo materializó y termina en la evidencia que demuestra su comportamiento.</w:t>
      </w:r>
    </w:p>
    <w:p>
      <w:pPr>
        <w:pStyle w:val="Heading1"/>
      </w:pPr>
      <w:r>
        <w:t>Fuentes académicas y técnicas utilizadas</w:t>
      </w:r>
    </w:p>
    <w:p>
      <w:pPr>
        <w:pStyle w:val="ListBullet"/>
      </w:pPr>
      <w:r>
        <w:t>Duoc UC, ASY5131 Integración de Plataformas: presentación “Construyendo diagrama BPMN”. La asignatura aborda BPM como disciplina de modelado, control, medición y optimización, y BPMN como notación común para representar procesos.</w:t>
      </w:r>
    </w:p>
    <w:p>
      <w:pPr>
        <w:pStyle w:val="ListBullet"/>
      </w:pPr>
      <w:r>
        <w:t>Duoc UC, Guía 1.3 “Actividad Formativa Construyendo diagrama BPMN – Sesión 2”. La guía solicita analizar el caso, construir el flujo BPMN, documentar la actividad y exponer el análisis.</w:t>
      </w:r>
    </w:p>
    <w:p>
      <w:pPr>
        <w:pStyle w:val="ListBullet"/>
      </w:pPr>
      <w:r>
        <w:t>Trabajo previo del equipo “Desarrollo y Mejora de la Venta Digital y Gestión de Aforo en Cine Júpiter”, usado como referencia de estructura para propósito, alcance, AS-IS, TO-BE, riesgos, KPI y KRI.</w:t>
      </w:r>
    </w:p>
    <w:p>
      <w:pPr>
        <w:pStyle w:val="ListBullet"/>
      </w:pPr>
      <w:r>
        <w:t>Repositorio LocalitoSaaS: alcance de tesis, backlog Scrum/Jira y estado actual al 9 de septiembre de 2026. Estos documentos se utilizan como fuente técnica para describir el TO-BE real y sus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 |  Documentación BPM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