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56"/>
          <w:sz w:val="60"/>
        </w:rPr>
        <w:t>LOCALITO</w:t>
      </w:r>
    </w:p>
    <w:p>
      <w:pPr>
        <w:jc w:val="center"/>
      </w:pPr>
      <w:r>
        <w:rPr>
          <w:b/>
          <w:color w:val="1F2937"/>
          <w:sz w:val="36"/>
        </w:rPr>
        <w:t>03 · Casos de uso y triggers de escalamiento</w:t>
      </w:r>
    </w:p>
    <w:p/>
    <w:p>
      <w:pPr>
        <w:jc w:val="center"/>
      </w:pPr>
      <w:r>
        <w:rPr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p>
      <w:pPr>
        <w:pStyle w:val="Heading1"/>
      </w:pPr>
      <w:r>
        <w:t>1. Casos potenciales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88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Caso</w:t>
            </w:r>
          </w:p>
        </w:tc>
        <w:tc>
          <w:tcPr>
            <w:tcW w:type="dxa" w:w="3744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Valor</w:t>
            </w:r>
          </w:p>
        </w:tc>
        <w:tc>
          <w:tcPr>
            <w:tcW w:type="dxa" w:w="3744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Prerequisito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Analítica multi-negocio agregada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Tendencias de categoría y comportamiento de plataforma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Consentimiento/gobernanza y masa crítica.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Detección de anomalías operativas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Priorizar revisión de caja/sincronización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Histórico suficiente y proceso humano de revisión.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Forecast de demanda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Mejor reposición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Datos históricos, lead time y evaluación temporal.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Telemetría de producto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Mejorar onboarding/UX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Instrumentación respetuosa de privacidad.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Procesamiento de imágenes/documentos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Automatizar apoyo visual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Object storage, costos y controles de datos.</w:t>
            </w:r>
          </w:p>
        </w:tc>
      </w:tr>
    </w:tbl>
    <w:p>
      <w:pPr>
        <w:pStyle w:val="Heading1"/>
      </w:pPr>
      <w:r>
        <w:t>2. Triggers</w:t>
      </w:r>
    </w:p>
    <w:p>
      <w:pPr>
        <w:pStyle w:val="ListBullet"/>
      </w:pPr>
      <w:r>
        <w:t>Latencia p95 o costos crecen pese a índices/particiones/optimización.</w:t>
      </w:r>
    </w:p>
    <w:p>
      <w:pPr>
        <w:pStyle w:val="ListBullet"/>
      </w:pPr>
      <w:r>
        <w:t>Volumen de imágenes obliga a migrar desde almacenamiento inline a object storage.</w:t>
      </w:r>
    </w:p>
    <w:p>
      <w:pPr>
        <w:pStyle w:val="ListBullet"/>
      </w:pPr>
      <w:r>
        <w:t>Analítica cross-tenant empieza a competir con cargas transaccionales.</w:t>
      </w:r>
    </w:p>
    <w:p>
      <w:pPr>
        <w:pStyle w:val="ListBullet"/>
      </w:pPr>
      <w:r>
        <w:t>Necesidad real de streaming con SLO de segundos.</w:t>
      </w:r>
    </w:p>
    <w:p>
      <w:pPr>
        <w:pStyle w:val="ListBullet"/>
      </w:pPr>
      <w:r>
        <w:t>Retención/logs superan la capacidad operativa de herramientas simples.</w:t>
      </w:r>
    </w:p>
    <w:p>
      <w:pPr>
        <w:pStyle w:val="Heading1"/>
      </w:pPr>
      <w:r>
        <w:t>3. Regla de arquitectura</w:t>
      </w:r>
    </w:p>
    <w:p>
      <w:r>
        <w:t>Cada salto tecnológico debe justificarse con un benchmark, una necesidad de negocio y un costo de operación. La tesis debe presentar Big Data como evolución condicionada, no como característica actual.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LOCALITO · BIG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