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Escenarios, Sensibilidad y Punto de Equilibrio</w:t>
      </w:r>
    </w:p>
    <w:p>
      <w:pPr>
        <w:jc w:val="center"/>
      </w:pPr>
      <w:r>
        <w:rPr>
          <w:rFonts w:ascii="Arial" w:hAnsi="Arial"/>
          <w:color w:val="475569"/>
          <w:sz w:val="21"/>
        </w:rPr>
        <w:t>Stress test del modelo lean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color w:val="1F2937"/>
                <w:sz w:val="19"/>
              </w:rPr>
              <w:t>Al bajar los costos, el antiguo escenario pesimista dejaba de ser realmente pesimista. Por eso se endureció únicamente ese escenario; el escenario base conserva la misma proyección de clientes.</w:t>
            </w:r>
          </w:p>
        </w:tc>
      </w:tr>
    </w:tbl>
    <w:p>
      <w:pPr>
        <w:pStyle w:val="Heading1"/>
      </w:pPr>
      <w:r>
        <w:t>1.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872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Escenario</w:t>
            </w:r>
          </w:p>
        </w:tc>
        <w:tc>
          <w:tcPr>
            <w:tcW w:type="dxa" w:w="3456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Clientes Y1→Y5</w:t>
            </w:r>
          </w:p>
        </w:tc>
        <w:tc>
          <w:tcPr>
            <w:tcW w:type="dxa" w:w="244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VAN</w:t>
            </w:r>
          </w:p>
        </w:tc>
        <w:tc>
          <w:tcPr>
            <w:tcW w:type="dxa" w:w="172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TIR</w:t>
            </w:r>
          </w:p>
        </w:tc>
        <w:tc>
          <w:tcPr>
            <w:tcW w:type="dxa" w:w="1728"/>
            <w:shd w:fill="0F3D5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Payback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Pesimista</w:t>
            </w:r>
          </w:p>
        </w:tc>
        <w:tc>
          <w:tcPr>
            <w:tcW w:type="dxa" w:w="34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5 → 15 → 30 → 55 → 85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-$3.456.462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-5,0%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&gt; 5 años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Base</w:t>
            </w:r>
          </w:p>
        </w:tc>
        <w:tc>
          <w:tcPr>
            <w:tcW w:type="dxa" w:w="34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20 → 45 → 80 → 130 → 200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$16.792.269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68,8%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2,76 años</w:t>
            </w:r>
          </w:p>
        </w:tc>
      </w:tr>
      <w:tr>
        <w:tc>
          <w:tcPr>
            <w:tcW w:type="dxa" w:w="187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Optimista</w:t>
            </w:r>
          </w:p>
        </w:tc>
        <w:tc>
          <w:tcPr>
            <w:tcW w:type="dxa" w:w="34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30 → 70 → 130 → 210 → 320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$36.548.114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113,3%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rFonts w:ascii="Arial" w:hAnsi="Arial"/>
                <w:sz w:val="15"/>
              </w:rPr>
              <w:t>2,06 años</w:t>
            </w:r>
          </w:p>
        </w:tc>
      </w:tr>
    </w:tbl>
    <w:p>
      <w:pPr>
        <w:pStyle w:val="Heading1"/>
      </w:pPr>
      <w:r>
        <w:t>2. Punto de equilibrio</w:t>
      </w:r>
    </w:p>
    <w:p>
      <w:r>
        <w:t>Con un costo fijo mensual de $250.000 y un margen de contribución aproximado de $11.500 por cliente, el punto de equilibrio del primer año es de 21,74 clientes. En términos operativos se redondea a 22 clientes pagados.</w:t>
      </w:r>
    </w:p>
    <w:p>
      <w:pPr>
        <w:pStyle w:val="Heading1"/>
      </w:pPr>
      <w:r>
        <w:t>3. Sensibilidad</w:t>
      </w:r>
    </w:p>
    <w:p>
      <w:r>
        <w:t>Con el modelo lean, variaciones moderadas de ±20% en adopción, ARPU o costos no vuelven negativo el VAN del escenario base. Esto no elimina el riesgo comercial: un escenario de adopción realmente débil, como el pesimista definido, sí produce VAN negativo.</w:t>
      </w:r>
    </w:p>
    <w:p>
      <w:pPr>
        <w:pStyle w:val="Heading1"/>
      </w:pPr>
      <w:r>
        <w:t>4. Lectura</w:t>
      </w:r>
    </w:p>
    <w:p>
      <w:r>
        <w:t>El principal riesgo continúa siendo la adquisición y retención. La reducción de costos mejora la resiliencia financiera, pero no sustituye la necesidad de validar conversión desde el trial y permanencia de clientes.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Informe de Evaluación Económica y Planilla de Evaluación de Proyectos utilizados como referencia metodológica del ramo.</w:t>
      </w:r>
    </w:p>
    <w:p>
      <w:pPr>
        <w:pStyle w:val="ListBullet"/>
      </w:pPr>
      <w:r>
        <w:t>Repositorio LocalitoSaaS: revisión de tesis y mercado, alcance, estado actual y documentación de negocio.</w:t>
      </w:r>
    </w:p>
    <w:p>
      <w:pPr>
        <w:pStyle w:val="ListBullet"/>
      </w:pPr>
      <w:r>
        <w:t>Precios de los planes Básico y Pro definidos por el equipo Localito.</w:t>
      </w:r>
    </w:p>
    <w:p>
      <w:pPr>
        <w:pStyle w:val="ListBullet"/>
      </w:pPr>
      <w:r>
        <w:t>Inversión, estructura de costos y curva de clientes tratados como supuestos académicos editables hasta disponer de evidencia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EVALUACIÓN DE PROYECTOS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