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6F5F"/>
          <w:sz w:val="64"/>
        </w:rPr>
        <w:t>LOCALITO</w:t>
      </w:r>
    </w:p>
    <w:p>
      <w:pPr>
        <w:jc w:val="center"/>
      </w:pPr>
      <w:r>
        <w:rPr>
          <w:b/>
          <w:color w:val="1F2937"/>
          <w:sz w:val="44"/>
        </w:rPr>
        <w:t>Roles Scrum y Working Agreements</w:t>
      </w:r>
    </w:p>
    <w:p>
      <w:pPr>
        <w:jc w:val="center"/>
      </w:pPr>
      <w:r>
        <w:rPr>
          <w:i/>
          <w:color w:val="6B7280"/>
          <w:sz w:val="24"/>
        </w:rPr>
        <w:t>Organización del equipo Localito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Proyecto</w:t>
            </w:r>
          </w:p>
        </w:tc>
        <w:tc>
          <w:tcPr>
            <w:tcW w:type="dxa" w:w="4759"/>
          </w:tcPr>
          <w:p>
            <w:r>
              <w:t>Localito - PWA SaaS para comercios de barrio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Metodología</w:t>
            </w:r>
          </w:p>
        </w:tc>
        <w:tc>
          <w:tcPr>
            <w:tcW w:type="dxa" w:w="4759"/>
          </w:tcPr>
          <w:p>
            <w:r>
              <w:t>Agile / Scrum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Versión</w:t>
            </w:r>
          </w:p>
        </w:tc>
        <w:tc>
          <w:tcPr>
            <w:tcW w:type="dxa" w:w="4759"/>
          </w:tcPr>
          <w:p>
            <w:r>
              <w:t>1.0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Fecha de corte</w:t>
            </w:r>
          </w:p>
        </w:tc>
        <w:tc>
          <w:tcPr>
            <w:tcW w:type="dxa" w:w="4759"/>
          </w:tcPr>
          <w:p>
            <w:r>
              <w:t>15 de septiembre de 2026</w:t>
            </w:r>
          </w:p>
        </w:tc>
      </w:tr>
    </w:tbl>
    <w:p/>
    <w:p>
      <w:pPr>
        <w:jc w:val="center"/>
      </w:pPr>
      <w:r>
        <w:rPr>
          <w:b/>
          <w:sz w:val="23"/>
        </w:rPr>
        <w:t>Equipo Scrum</w:t>
      </w:r>
    </w:p>
    <w:p>
      <w:pPr>
        <w:jc w:val="center"/>
      </w:pPr>
      <w:r>
        <w:t>Alexander Patiño - Product Owner</w:t>
      </w:r>
    </w:p>
    <w:p>
      <w:pPr>
        <w:jc w:val="center"/>
      </w:pPr>
      <w:r>
        <w:t>Samuel Solís - Scrum Master</w:t>
      </w:r>
    </w:p>
    <w:p>
      <w:pPr>
        <w:jc w:val="center"/>
      </w:pPr>
      <w:r>
        <w:t>Camilo González - Developer / desarrollo principal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F6F5F"/>
          </w:tcPr>
          <w:p>
            <w:r>
              <w:rPr>
                <w:color w:val="FFFFFF"/>
              </w:rPr>
              <w:t>Versión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Fecha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Responsable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Estado</w:t>
            </w:r>
          </w:p>
        </w:tc>
      </w:tr>
      <w:tr>
        <w:tc>
          <w:tcPr>
            <w:tcW w:type="dxa" w:w="2379"/>
          </w:tcPr>
          <w:p>
            <w:r>
              <w:t>1.0</w:t>
            </w:r>
          </w:p>
        </w:tc>
        <w:tc>
          <w:tcPr>
            <w:tcW w:type="dxa" w:w="2379"/>
          </w:tcPr>
          <w:p>
            <w:r>
              <w:t>15 de septiembre de 2026</w:t>
            </w:r>
          </w:p>
        </w:tc>
        <w:tc>
          <w:tcPr>
            <w:tcW w:type="dxa" w:w="2379"/>
          </w:tcPr>
          <w:p>
            <w:r>
              <w:t>Equipo Scrum</w:t>
            </w:r>
          </w:p>
        </w:tc>
        <w:tc>
          <w:tcPr>
            <w:tcW w:type="dxa" w:w="2379"/>
          </w:tcPr>
          <w:p>
            <w:r>
              <w:t>Vigente para trabajo académico</w:t>
            </w:r>
          </w:p>
        </w:tc>
      </w:tr>
    </w:tbl>
    <w:p>
      <w:pPr>
        <w:pStyle w:val="Heading1"/>
      </w:pPr>
      <w:r>
        <w:t>1. Scrum Team</w:t>
      </w:r>
    </w:p>
    <w:p>
      <w:pPr>
        <w:jc w:val="both"/>
      </w:pPr>
      <w:r>
        <w:t>El equipo trabaja como una unidad pequeña y multifuncional. Las accountabilities de Scrum ordenan quién maximiza valor, quién facilita el marco y quién construye el incremento; no se utilizan como jerarquías de mando.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6F5F"/>
          </w:tcPr>
          <w:p>
            <w:r>
              <w:rPr>
                <w:color w:val="FFFFFF"/>
              </w:rPr>
              <w:t>Integrante</w:t>
            </w:r>
          </w:p>
        </w:tc>
        <w:tc>
          <w:tcPr>
            <w:tcW w:type="dxa" w:w="3173"/>
            <w:shd w:fill="1F6F5F"/>
          </w:tcPr>
          <w:p>
            <w:r>
              <w:rPr>
                <w:color w:val="FFFFFF"/>
              </w:rPr>
              <w:t>Accountability</w:t>
            </w:r>
          </w:p>
        </w:tc>
        <w:tc>
          <w:tcPr>
            <w:tcW w:type="dxa" w:w="3173"/>
            <w:shd w:fill="1F6F5F"/>
          </w:tcPr>
          <w:p>
            <w:r>
              <w:rPr>
                <w:color w:val="FFFFFF"/>
              </w:rPr>
              <w:t>Responsabilidades aplicadas</w:t>
            </w:r>
          </w:p>
        </w:tc>
      </w:tr>
      <w:tr>
        <w:tc>
          <w:tcPr>
            <w:tcW w:type="dxa" w:w="3173"/>
            <w:vAlign w:val="top"/>
          </w:tcPr>
          <w:p>
            <w:r>
              <w:t>Alexander Patiño</w:t>
            </w:r>
          </w:p>
        </w:tc>
        <w:tc>
          <w:tcPr>
            <w:tcW w:type="dxa" w:w="3173"/>
            <w:vAlign w:val="top"/>
          </w:tcPr>
          <w:p>
            <w:r>
              <w:t>Product Owner</w:t>
            </w:r>
          </w:p>
        </w:tc>
        <w:tc>
          <w:tcPr>
            <w:tcW w:type="dxa" w:w="3173"/>
            <w:vAlign w:val="top"/>
          </w:tcPr>
          <w:p>
            <w:r>
              <w:t>Ordenar el Product Backlog, mantener claridad sobre el valor esperado, validar prioridades y representar las necesidades del producto.</w:t>
            </w:r>
          </w:p>
        </w:tc>
      </w:tr>
      <w:tr>
        <w:tc>
          <w:tcPr>
            <w:tcW w:type="dxa" w:w="3173"/>
            <w:vAlign w:val="top"/>
          </w:tcPr>
          <w:p>
            <w:r>
              <w:t>Samuel Solís</w:t>
            </w:r>
          </w:p>
        </w:tc>
        <w:tc>
          <w:tcPr>
            <w:tcW w:type="dxa" w:w="3173"/>
            <w:vAlign w:val="top"/>
          </w:tcPr>
          <w:p>
            <w:r>
              <w:t>Scrum Master</w:t>
            </w:r>
          </w:p>
        </w:tc>
        <w:tc>
          <w:tcPr>
            <w:tcW w:type="dxa" w:w="3173"/>
            <w:vAlign w:val="top"/>
          </w:tcPr>
          <w:p>
            <w:r>
              <w:t>Facilitar Scrum, promover transparencia, apoyar la eliminación de impedimentos y cuidar que los eventos produzcan decisiones concretas.</w:t>
            </w:r>
          </w:p>
        </w:tc>
      </w:tr>
      <w:tr>
        <w:tc>
          <w:tcPr>
            <w:tcW w:type="dxa" w:w="3173"/>
            <w:vAlign w:val="top"/>
          </w:tcPr>
          <w:p>
            <w:r>
              <w:t>Camilo González</w:t>
            </w:r>
          </w:p>
        </w:tc>
        <w:tc>
          <w:tcPr>
            <w:tcW w:type="dxa" w:w="3173"/>
            <w:vAlign w:val="top"/>
          </w:tcPr>
          <w:p>
            <w:r>
              <w:t>Developer / desarrollo principal</w:t>
            </w:r>
          </w:p>
        </w:tc>
        <w:tc>
          <w:tcPr>
            <w:tcW w:type="dxa" w:w="3173"/>
            <w:vAlign w:val="top"/>
          </w:tcPr>
          <w:p>
            <w:r>
              <w:t>Diseñar e implementar el incremento, mantener calidad técnica, pruebas, integración, documentación técnica y visibilidad del trabajo realizado.</w:t>
            </w:r>
          </w:p>
        </w:tc>
      </w:tr>
    </w:tbl>
    <w:p>
      <w:pPr>
        <w:pStyle w:val="Heading1"/>
      </w:pPr>
      <w:r>
        <w:t>2. Reglas de colaboración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6F5F"/>
          </w:tcPr>
          <w:p>
            <w:r>
              <w:rPr>
                <w:color w:val="FFFFFF"/>
              </w:rPr>
              <w:t>Acuerdo</w:t>
            </w:r>
          </w:p>
        </w:tc>
        <w:tc>
          <w:tcPr>
            <w:tcW w:type="dxa" w:w="4759"/>
            <w:shd w:fill="1F6F5F"/>
          </w:tcPr>
          <w:p>
            <w:r>
              <w:rPr>
                <w:color w:val="FFFFFF"/>
              </w:rPr>
              <w:t>Aplicación</w:t>
            </w:r>
          </w:p>
        </w:tc>
      </w:tr>
      <w:tr>
        <w:tc>
          <w:tcPr>
            <w:tcW w:type="dxa" w:w="4759"/>
            <w:vAlign w:val="top"/>
          </w:tcPr>
          <w:p>
            <w:r>
              <w:t>Backlog visible</w:t>
            </w:r>
          </w:p>
        </w:tc>
        <w:tc>
          <w:tcPr>
            <w:tcW w:type="dxa" w:w="4759"/>
            <w:vAlign w:val="top"/>
          </w:tcPr>
          <w:p>
            <w:r>
              <w:t>Todo trabajo relevante debe quedar representado en una historia, bug o tarea vinculada al producto.</w:t>
            </w:r>
          </w:p>
        </w:tc>
      </w:tr>
      <w:tr>
        <w:tc>
          <w:tcPr>
            <w:tcW w:type="dxa" w:w="4759"/>
            <w:vAlign w:val="top"/>
          </w:tcPr>
          <w:p>
            <w:r>
              <w:t>Trabajo pequeño</w:t>
            </w:r>
          </w:p>
        </w:tc>
        <w:tc>
          <w:tcPr>
            <w:tcW w:type="dxa" w:w="4759"/>
            <w:vAlign w:val="top"/>
          </w:tcPr>
          <w:p>
            <w:r>
              <w:t>Las historias demasiado grandes se dividen antes de comprometerlas en un Sprint.</w:t>
            </w:r>
          </w:p>
        </w:tc>
      </w:tr>
      <w:tr>
        <w:tc>
          <w:tcPr>
            <w:tcW w:type="dxa" w:w="4759"/>
            <w:vAlign w:val="top"/>
          </w:tcPr>
          <w:p>
            <w:r>
              <w:t>Sin “terminado a medias”</w:t>
            </w:r>
          </w:p>
        </w:tc>
        <w:tc>
          <w:tcPr>
            <w:tcW w:type="dxa" w:w="4759"/>
            <w:vAlign w:val="top"/>
          </w:tcPr>
          <w:p>
            <w:r>
              <w:t>Si faltan pruebas o una validación declarada en la DoD, el trabajo conserva un estado pendiente.</w:t>
            </w:r>
          </w:p>
        </w:tc>
      </w:tr>
      <w:tr>
        <w:tc>
          <w:tcPr>
            <w:tcW w:type="dxa" w:w="4759"/>
            <w:vAlign w:val="top"/>
          </w:tcPr>
          <w:p>
            <w:r>
              <w:t>Una fuente técnica</w:t>
            </w:r>
          </w:p>
        </w:tc>
        <w:tc>
          <w:tcPr>
            <w:tcW w:type="dxa" w:w="4759"/>
            <w:vAlign w:val="top"/>
          </w:tcPr>
          <w:p>
            <w:r>
              <w:t>El repositorio y sus evidencias verificables prevalecen frente a descripciones antiguas.</w:t>
            </w:r>
          </w:p>
        </w:tc>
      </w:tr>
      <w:tr>
        <w:tc>
          <w:tcPr>
            <w:tcW w:type="dxa" w:w="4759"/>
            <w:vAlign w:val="top"/>
          </w:tcPr>
          <w:p>
            <w:r>
              <w:t>Cambios con contexto</w:t>
            </w:r>
          </w:p>
        </w:tc>
        <w:tc>
          <w:tcPr>
            <w:tcW w:type="dxa" w:w="4759"/>
            <w:vAlign w:val="top"/>
          </w:tcPr>
          <w:p>
            <w:r>
              <w:t>Una decisión que modifica alcance, permisos, datos o arquitectura debe quedar documentada.</w:t>
            </w:r>
          </w:p>
        </w:tc>
      </w:tr>
      <w:tr>
        <w:tc>
          <w:tcPr>
            <w:tcW w:type="dxa" w:w="4759"/>
            <w:vAlign w:val="top"/>
          </w:tcPr>
          <w:p>
            <w:r>
              <w:t>Revisión cruzada</w:t>
            </w:r>
          </w:p>
        </w:tc>
        <w:tc>
          <w:tcPr>
            <w:tcW w:type="dxa" w:w="4759"/>
            <w:vAlign w:val="top"/>
          </w:tcPr>
          <w:p>
            <w:r>
              <w:t>Cuando sea posible, otro integrante revisa redacción, criterios o comportamiento antes del cierre académico.</w:t>
            </w:r>
          </w:p>
        </w:tc>
      </w:tr>
      <w:tr>
        <w:tc>
          <w:tcPr>
            <w:tcW w:type="dxa" w:w="4759"/>
            <w:vAlign w:val="top"/>
          </w:tcPr>
          <w:p>
            <w:r>
              <w:t>Bloqueos visibles</w:t>
            </w:r>
          </w:p>
        </w:tc>
        <w:tc>
          <w:tcPr>
            <w:tcW w:type="dxa" w:w="4759"/>
            <w:vAlign w:val="top"/>
          </w:tcPr>
          <w:p>
            <w:r>
              <w:t>Un impedimento que afecte el Sprint se comunica y registra; no se oculta hasta el final.</w:t>
            </w:r>
          </w:p>
        </w:tc>
      </w:tr>
      <w:tr>
        <w:tc>
          <w:tcPr>
            <w:tcW w:type="dxa" w:w="4759"/>
            <w:vAlign w:val="top"/>
          </w:tcPr>
          <w:p>
            <w:r>
              <w:t>Feedback accionable</w:t>
            </w:r>
          </w:p>
        </w:tc>
        <w:tc>
          <w:tcPr>
            <w:tcW w:type="dxa" w:w="4759"/>
            <w:vAlign w:val="top"/>
          </w:tcPr>
          <w:p>
            <w:r>
              <w:t>Los comentarios del docente o usuarios se convierten en decisiones: aceptar, rechazar con fundamento o incorporar al backlog.</w:t>
            </w:r>
          </w:p>
        </w:tc>
      </w:tr>
    </w:tbl>
    <w:p>
      <w:pPr>
        <w:pStyle w:val="Heading1"/>
      </w:pPr>
      <w:r>
        <w:t>3. Política de commits y evidencias</w:t>
      </w:r>
    </w:p>
    <w:p>
      <w:pPr>
        <w:pStyle w:val="ListBullet"/>
      </w:pPr>
      <w:r>
        <w:t>Los commits deben describir el cambio con suficiente claridad para relacionarlo con una historia, corrección o mejora.</w:t>
      </w:r>
    </w:p>
    <w:p>
      <w:pPr>
        <w:pStyle w:val="ListBullet"/>
      </w:pPr>
      <w:r>
        <w:t>Los cambios sensibles se acompañan de prueba automatizada o evidencia manual según corresponda.</w:t>
      </w:r>
    </w:p>
    <w:p>
      <w:pPr>
        <w:pStyle w:val="ListBullet"/>
      </w:pPr>
      <w:r>
        <w:t>Las capturas sirven como evidencia visual, pero no sustituyen las pruebas de lógica ni la validación en dispositivos físicos.</w:t>
      </w:r>
    </w:p>
    <w:p>
      <w:pPr>
        <w:pStyle w:val="ListBullet"/>
      </w:pPr>
      <w:r>
        <w:t>La documentación se actualiza cuando el comportamiento del sistema cambia; no se mantiene texto obsoleto para “hacer coincidir” una entrega anterior.</w:t>
      </w:r>
    </w:p>
    <w:p>
      <w:pPr>
        <w:pStyle w:val="Heading1"/>
      </w:pPr>
      <w:r>
        <w:t>4. Manejo de desacuerdos</w:t>
      </w:r>
    </w:p>
    <w:p>
      <w:pPr>
        <w:jc w:val="both"/>
      </w:pPr>
      <w:r>
        <w:t>Cuando existen alternativas de implementación o prioridad, el equipo separa la discusión en valor de producto, riesgo técnico y costo de cambio. El Product Owner decide el orden del backlog; los Developers deciden cómo construir el incremento; el Scrum Master facilita la conversación y evita que una diferencia operativa se transforme en un bloqueo prolongado.</w:t>
      </w:r>
    </w:p>
    <w:p>
      <w:pPr>
        <w:pStyle w:val="Heading1"/>
      </w:pPr>
      <w:r>
        <w:t>Fuentes de elaboración</w:t>
      </w:r>
    </w:p>
    <w:p>
      <w:pPr>
        <w:pStyle w:val="ListBullet"/>
      </w:pPr>
      <w:r>
        <w:t>Repositorio LocalitoSaaS: Backlog-Scrum-Jira.md y Jira-Import.csv.</w:t>
      </w:r>
    </w:p>
    <w:p>
      <w:pPr>
        <w:pStyle w:val="ListBullet"/>
      </w:pPr>
      <w:r>
        <w:t>Repositorio LocalitoSaaS: Alcance-Tesis.md y Estado-Actual.md, revisados al corte técnico de septiembre de 2026.</w:t>
      </w:r>
    </w:p>
    <w:p>
      <w:pPr>
        <w:pStyle w:val="ListBullet"/>
      </w:pPr>
      <w:r>
        <w:t>Trabajo académico “Gestión Ágil del Proyecto Ferremas - Informe del Sprint 1” (Duoc UC, 2025), utilizado como referencia de estructura y nivel de detalle.</w:t>
      </w:r>
    </w:p>
    <w:p>
      <w:pPr>
        <w:pStyle w:val="ListBullet"/>
      </w:pPr>
      <w:r>
        <w:t>The Scrum Guide, Schwaber y Sutherland (2020), como referencia conceptual para roles, eventos y artefactos.</w:t>
      </w:r>
    </w:p>
    <w:p>
      <w:r>
        <w:rPr>
          <w:b/>
        </w:rPr>
        <w:t xml:space="preserve">Criterio de trazabilidad: </w:t>
      </w:r>
      <w:r>
        <w:t>cuando el repositorio no conserva evidencia suficiente para afirmar que una ceremonia ocurrió en una fecha determinada, el documento lo identifica como reconstrucción documental y no como acta histórica.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Documento académico - versión 1.0  |  </w:t>
    </w: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LOCALITO  |  Gestión Ágil con Scrum  |  Capstone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6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6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6F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