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RBS y Análisis Cualitativo</w:t>
      </w:r>
    </w:p>
    <w:p>
      <w:pPr>
        <w:jc w:val="center"/>
      </w:pPr>
      <w:r>
        <w:rPr>
          <w:rFonts w:ascii="Arial" w:hAnsi="Arial"/>
          <w:color w:val="475569"/>
          <w:sz w:val="21"/>
        </w:rPr>
        <w:t>Estructura, probabilidad, impacto y exposición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matriz P×I sirve para priorizar, pero no reemplaza el juicio de tolerancia. Un riesgo de seguridad puede escalarse aunque su probabilidad sea baja.</w:t>
            </w:r>
          </w:p>
        </w:tc>
      </w:tr>
    </w:tbl>
    <w:p>
      <w:pPr>
        <w:pStyle w:val="Heading1"/>
      </w:pPr>
      <w:r>
        <w:t>1. Risk Breakdown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18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B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RBS adaptado a Localito.</w:t>
      </w:r>
    </w:p>
    <w:p>
      <w:pPr>
        <w:pStyle w:val="Heading1"/>
      </w:pPr>
      <w:r>
        <w:t>2. Escalas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Muy baja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≤10%; evento poco probable bajo controles actuales.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11–30%; posible, pero con controles preventivos.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31–50%; incertidumbre real o evidencia parcial.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51–70%; señales o dependencias aumentan probabilidad.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Muy alta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&gt;70% o condición ya presente.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Insignificante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Sin efecto relevante en Sprint Goal, datos o demo.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Menor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Retrabajo acotado.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Moderado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Afecta función, evidencia o experiencia importante.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Mayor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Puede bloquear incremento, demo o adopción.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Puede afectar datos, seguridad, integridad o viabilidad.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84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iterio_Respuesta_Ries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8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2. Criterio de respuesta por exposición.</w:t>
      </w:r>
    </w:p>
    <w:p>
      <w:pPr>
        <w:pStyle w:val="Heading1"/>
      </w:pPr>
      <w:r>
        <w:t>3. Riesgos prioritarios del corte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P×I</w:t>
            </w:r>
          </w:p>
        </w:tc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Lectura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R-02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Credenciales históricas expuestas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25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Acción requerida antes de defensa/despliegue.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R-10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DTE/SII ausente para comercialización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25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Aceptado dentro de tesis; crítico para negocio futuro.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R-12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Adopción/retención insuficiente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20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Amenaza central al modelo financiero.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R-14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Validación con usuarios externos insuficiente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20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Riesgo directo para solidez académica.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R-11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Precio Pro no demuestra suficiente valor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16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Debe validarse disposición a pagar.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R-13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Competencia/sustitutos reducen adquisición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16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Exige diferenciación medible.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R-03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Concurrencia/idempotencia PostgreSQL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15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Pendiente de validación real.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R-19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Backup/restore no validado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15 · Alto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No usar datos reales antes de probar recuperación.</w:t>
            </w:r>
          </w:p>
        </w:tc>
      </w:tr>
    </w:tbl>
    <w:p>
      <w:pPr>
        <w:pStyle w:val="Heading1"/>
      </w:pPr>
      <w:r>
        <w:t>4. Interpretación</w:t>
      </w:r>
    </w:p>
    <w:p>
      <w:r>
        <w:t>El Risk Backlog contiene veinte riesgos documentales. La prioridad no equivale a probabilidad histórica: se trata de un corte de análisis basado en el estado técnico, pendientes declarados, mercado y alcance académico. Los valores deben actualizarse cuando exista evidencia nueva.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