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Contratos, Errores y Resiliencia</w:t>
      </w:r>
    </w:p>
    <w:p>
      <w:pPr>
        <w:jc w:val="center"/>
      </w:pPr>
      <w:r>
        <w:rPr>
          <w:rFonts w:ascii="Arial" w:hAnsi="Arial"/>
          <w:color w:val="475569"/>
          <w:sz w:val="21"/>
        </w:rPr>
        <w:t>Idempotencia, fallbacks y comportamiento ante fallos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Una integración no está bien definida solo por su caso exitoso. Localito documenta qué ocurre cuando hay rechazo de datos, pérdida de red, cuota agotada, proveedor inválido o persistencia ausente.</w:t>
            </w:r>
          </w:p>
        </w:tc>
      </w:tr>
    </w:tbl>
    <w:p>
      <w:pPr>
        <w:pStyle w:val="Heading1"/>
      </w:pPr>
      <w:r>
        <w:t>1. Continuidad offline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766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Offline_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6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1. Cola de ventas y clasificación de respuestas.</w:t>
      </w:r>
    </w:p>
    <w:p>
      <w:pPr>
        <w:pStyle w:val="Heading1"/>
      </w:pPr>
      <w:r>
        <w:t>2. Política de reintento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73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Comportamiento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2xx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La operación se considera registrada y se confirma su efecto.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400/404/409/413/422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El ticket queda pendiente de revisión; no se reintenta automáticamente.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Error de red / 401 / 403 / 429 / 5xx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 detiene ese ciclo; se conserva la cola y se reintenta cuando la condición se resuelva.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Idempotency-Key repetida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Debe evitar duplicar la venta/efecto; falta validar concurrencia contra PostgreSQL real.</w:t>
            </w:r>
          </w:p>
        </w:tc>
      </w:tr>
    </w:tbl>
    <w:p>
      <w:pPr>
        <w:pStyle w:val="Heading1"/>
      </w:pPr>
      <w:r>
        <w:t>3. Proveedores de IA</w:t>
      </w:r>
    </w:p>
    <w:p>
      <w:pPr>
        <w:pStyle w:val="ListBullet"/>
      </w:pPr>
      <w:r>
        <w:t>Timeout configurado por operación: aproximadamente 45 s para visión general/Venta Rápida y 60 s para factura.</w:t>
      </w:r>
    </w:p>
    <w:p>
      <w:pPr>
        <w:pStyle w:val="ListBullet"/>
      </w:pPr>
      <w:r>
        <w:t>429 se transforma en mensaje de cuota y recomendación de reintento.</w:t>
      </w:r>
    </w:p>
    <w:p>
      <w:pPr>
        <w:pStyle w:val="ListBullet"/>
      </w:pPr>
      <w:r>
        <w:t>401/403 del proveedor se presentan como indisponibilidad de servicio, sin revelar la credencial.</w:t>
      </w:r>
    </w:p>
    <w:p>
      <w:pPr>
        <w:pStyle w:val="ListBullet"/>
      </w:pPr>
      <w:r>
        <w:t>413 identifica payload demasiado grande.</w:t>
      </w:r>
    </w:p>
    <w:p>
      <w:pPr>
        <w:pStyle w:val="ListBullet"/>
      </w:pPr>
      <w:r>
        <w:t>Respuesta vacía o JSON inválido produce un error controlado.</w:t>
      </w:r>
    </w:p>
    <w:p>
      <w:pPr>
        <w:pStyle w:val="ListBullet"/>
      </w:pPr>
      <w:r>
        <w:t>El POS conserva flujos manuales aunque la IA esté caída.</w:t>
      </w:r>
    </w:p>
    <w:p>
      <w:pPr>
        <w:pStyle w:val="Heading1"/>
      </w:pPr>
      <w:r>
        <w:t>4. Persistencia</w:t>
      </w:r>
    </w:p>
    <w:p>
      <w:r>
        <w:t>En producción la ausencia o fallo de PostgreSQL impide inicializar el repositorio persistente. El fallback a memoria se admite solo en entornos no productivos. Esto convierte la persistencia en una dependencia explícita y observable.</w:t>
      </w:r>
    </w:p>
    <w:p>
      <w:pPr>
        <w:pStyle w:val="Heading1"/>
      </w:pPr>
      <w:r>
        <w:t>5. Criterios no medidos todavía</w:t>
      </w:r>
    </w:p>
    <w:p>
      <w:r>
        <w:t>No se establecen SLA, SLO ni percentiles de latencia como hechos porque no existe una línea base productiva suficiente. Las métricas de disponibilidad y latencia deben definirse a partir de pilotos o uso real.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