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Plan de Pruebas de Integración</w:t>
      </w:r>
    </w:p>
    <w:p>
      <w:pPr>
        <w:jc w:val="center"/>
      </w:pPr>
      <w:r>
        <w:rPr>
          <w:rFonts w:ascii="Arial" w:hAnsi="Arial"/>
          <w:color w:val="475569"/>
          <w:sz w:val="21"/>
        </w:rPr>
        <w:t>Casos, evidencia disponible y validaciones pendientes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El plan separa 'diseñado', 'cubierto parcialmente' y 'pendiente'. No convierte el código existente en evidencia de una ejecución que no ocurrió.</w:t>
            </w:r>
          </w:p>
        </w:tc>
      </w:tr>
    </w:tbl>
    <w:p>
      <w:pPr>
        <w:pStyle w:val="Heading1"/>
      </w:pPr>
      <w:r>
        <w:t>1. Objetivo</w:t>
      </w:r>
    </w:p>
    <w:p>
      <w:r>
        <w:t>Comprobar que los contratos entre PWA, API, base de datos y servicios externos mantienen datos, reglas y errores coherentes, incluyendo degradación y reintentos.</w:t>
      </w:r>
    </w:p>
    <w:p>
      <w:pPr>
        <w:pStyle w:val="Heading1"/>
      </w:pPr>
      <w:r>
        <w:t>2. Casos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57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230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IT-002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API ↔ PostgreSQL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Datos persisten tras reinicio en BD separada.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Pendiente real.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IT-003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Idempotencia PostgreSQL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Misma venta concurrente produce un solo efecto.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Pendiente.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IT-004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Offline ↔ API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Rechazos 409/422 quedan para revisión.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Cubierto en suites previas al rediseño.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IT-005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Offline ↔ API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Corte/red recupera y sincroniza una vez.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Cubierto parcialmente; físico pendiente.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IT-006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API ↔ IA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Solo IDs reales y sin mutación antes de confirmar.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Funcionalidad implementada; prueba externa controlada pendiente según ambiente.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IT-007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Proveedor IA fallido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Error 429/5xx/JSON inválido produce respuesta controlada.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Diseñado.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IT-009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Correo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Reset llega y token se usa una sola vez.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Depende de ambiente/proveedor.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IT-010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Tenant ↔ PostgreSQL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 accesos cruzados entre negocios.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Pendiente PostgreSQL real.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IT-012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Pago demo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Se identifica explícitamente como simulación.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Implementado.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IT-014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Secretos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Build/respuestas no exponen claves privadas.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Pendiente prueba formal.</w:t>
            </w:r>
          </w:p>
        </w:tc>
      </w:tr>
    </w:tbl>
    <w:p>
      <w:pPr>
        <w:pStyle w:val="Heading1"/>
      </w:pPr>
      <w:r>
        <w:t>3. Ambientes</w:t>
      </w:r>
    </w:p>
    <w:p>
      <w:pPr>
        <w:pStyle w:val="ListBullet"/>
      </w:pPr>
      <w:r>
        <w:t>Memoria: pruebas unitarias/integradas rápidas con datos sintéticos.</w:t>
      </w:r>
    </w:p>
    <w:p>
      <w:pPr>
        <w:pStyle w:val="ListBullet"/>
      </w:pPr>
      <w:r>
        <w:t>PostgreSQL separado: migración, consultas, concurrencia, idempotencia y aislamiento.</w:t>
      </w:r>
    </w:p>
    <w:p>
      <w:pPr>
        <w:pStyle w:val="ListBullet"/>
      </w:pPr>
      <w:r>
        <w:t>Navegador: integración PWA/API y continuidad offline.</w:t>
      </w:r>
    </w:p>
    <w:p>
      <w:pPr>
        <w:pStyle w:val="ListBullet"/>
      </w:pPr>
      <w:r>
        <w:t>Dispositivo físico: Safari/iPhone y Android, todavía pendiente.</w:t>
      </w:r>
    </w:p>
    <w:p>
      <w:pPr>
        <w:pStyle w:val="ListBullet"/>
      </w:pPr>
      <w:r>
        <w:t>Servicios externos: usar cuentas/credenciales de prueba autorizadas; nunca incrustarlas en evidencias.</w:t>
      </w:r>
    </w:p>
    <w:p>
      <w:pPr>
        <w:pStyle w:val="Heading1"/>
      </w:pPr>
      <w:r>
        <w:t>4. Postman</w:t>
      </w:r>
    </w:p>
    <w:p>
      <w:r>
        <w:t>La colección Postman sirve como base reproducible para explorar endpoints y documentar contratos. No sustituye las pruebas automatizadas ni demuestra por sí sola que una integración externa esté disponible.</w:t>
      </w:r>
    </w:p>
    <w:p>
      <w:pPr>
        <w:pStyle w:val="Heading1"/>
      </w:pPr>
      <w:r>
        <w:t>5. Criterios de salida</w:t>
      </w:r>
    </w:p>
    <w:p>
      <w:pPr>
        <w:pStyle w:val="ListBullet"/>
      </w:pPr>
      <w:r>
        <w:t>0 errores críticos conocidos sin tratamiento en rutas de integración clave.</w:t>
      </w:r>
    </w:p>
    <w:p>
      <w:pPr>
        <w:pStyle w:val="ListBullet"/>
      </w:pPr>
      <w:r>
        <w:t>Evidencia de PostgreSQL real para idempotencia, tenant isolation y persistencia antes de afirmar validación productiva.</w:t>
      </w:r>
    </w:p>
    <w:p>
      <w:pPr>
        <w:pStyle w:val="ListBullet"/>
      </w:pPr>
      <w:r>
        <w:t>Errores de proveedor no deben mutar datos ni bloquear el POS manual.</w:t>
      </w:r>
    </w:p>
    <w:p>
      <w:pPr>
        <w:pStyle w:val="ListBullet"/>
      </w:pPr>
      <w:r>
        <w:t>Simulaciones deben permanecer rotuladas como tales en interfaz, documentación y defensa.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