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Calibri" w:hAnsi="Calibri"/>
          <w:b/>
          <w:color w:val="0F3D56"/>
          <w:sz w:val="60"/>
        </w:rPr>
        <w:t>LOCALITO</w:t>
      </w:r>
    </w:p>
    <w:p>
      <w:pPr>
        <w:jc w:val="center"/>
      </w:pPr>
      <w:r>
        <w:rPr>
          <w:rFonts w:ascii="Calibri" w:hAnsi="Calibri"/>
          <w:b/>
          <w:color w:val="1F2937"/>
          <w:sz w:val="36"/>
        </w:rPr>
        <w:t>Diseño de Dashboard Power BI</w:t>
      </w:r>
    </w:p>
    <w:p>
      <w:pPr>
        <w:jc w:val="center"/>
      </w:pPr>
      <w:r>
        <w:rPr>
          <w:rFonts w:ascii="Calibri" w:hAnsi="Calibri"/>
          <w:color w:val="475569"/>
          <w:sz w:val="22"/>
        </w:rPr>
        <w:t>Panel relacionado para toma de decisiones</w:t>
      </w:r>
    </w:p>
    <w:p/>
    <w:p>
      <w:pPr>
        <w:jc w:val="center"/>
      </w:pPr>
      <w:r>
        <w:rPr>
          <w:rFonts w:ascii="Calibri" w:hAnsi="Calibri"/>
          <w:sz w:val="21"/>
        </w:rPr>
        <w:t>Integrantes: Camilo González · Alexander Patiño · Samuel Solís</w:t>
        <w:br/>
        <w:t>Asignatura: Inteligencia de Negocios</w:t>
        <w:br/>
        <w:t>Docente: Daniel Carrasco Diaz</w:t>
        <w:br/>
        <w:t>Septiembre 2026</w:t>
      </w:r>
    </w:p>
    <w:p>
      <w:r>
        <w:br w:type="page"/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EAF2F8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r>
              <w:rPr>
                <w:rFonts w:ascii="Calibri" w:hAnsi="Calibri"/>
                <w:sz w:val="20"/>
              </w:rPr>
              <w:t>La pauta del examen exige que los reportes estén relacionados y que un cambio afecte al resto del panel. El diseño usa un esquema estrella para soportar ese filtrado cruzado.</w:t>
            </w:r>
          </w:p>
        </w:tc>
      </w:tr>
    </w:tbl>
    <w:p>
      <w:pPr>
        <w:pStyle w:val="Heading1"/>
      </w:pPr>
      <w:r>
        <w:t>1. Página Resumen Ejecutivo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rPr>
          <w:tblHeader w:val="true"/>
          <w:cantSplit/>
        </w:trPr>
        <w:tc>
          <w:tcPr>
            <w:tcW w:type="dxa" w:w="2880"/>
            <w:shd w:fill="0F3D56"/>
            <w:vAlign w:val="center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spacing w:line="240" w:lineRule="auto"/>
              <w:jc w:val="center"/>
            </w:pPr>
            <w:r>
              <w:rPr>
                <w:rFonts w:ascii="Calibri" w:hAnsi="Calibri"/>
                <w:b/>
                <w:color w:val="FFFFFF"/>
                <w:sz w:val="16"/>
              </w:rPr>
              <w:t>Visual</w:t>
            </w:r>
          </w:p>
        </w:tc>
        <w:tc>
          <w:tcPr>
            <w:tcW w:type="dxa" w:w="4320"/>
            <w:shd w:fill="0F3D56"/>
            <w:vAlign w:val="center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spacing w:line="240" w:lineRule="auto"/>
              <w:jc w:val="center"/>
            </w:pPr>
            <w:r>
              <w:rPr>
                <w:rFonts w:ascii="Calibri" w:hAnsi="Calibri"/>
                <w:b/>
                <w:color w:val="FFFFFF"/>
                <w:sz w:val="16"/>
              </w:rPr>
              <w:t>Métrica</w:t>
            </w:r>
          </w:p>
        </w:tc>
        <w:tc>
          <w:tcPr>
            <w:tcW w:type="dxa" w:w="3600"/>
            <w:shd w:fill="0F3D56"/>
            <w:vAlign w:val="center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spacing w:line="240" w:lineRule="auto"/>
              <w:jc w:val="center"/>
            </w:pPr>
            <w:r>
              <w:rPr>
                <w:rFonts w:ascii="Calibri" w:hAnsi="Calibri"/>
                <w:b/>
                <w:color w:val="FFFFFF"/>
                <w:sz w:val="16"/>
              </w:rPr>
              <w:t>Interacción</w:t>
            </w:r>
          </w:p>
        </w:tc>
      </w:tr>
      <w:tr>
        <w:trPr>
          <w:cantSplit/>
        </w:trPr>
        <w:tc>
          <w:tcPr>
            <w:tcW w:type="dxa" w:w="2880"/>
            <w:vAlign w:val="top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spacing w:line="240" w:lineRule="auto"/>
            </w:pPr>
            <w:r>
              <w:rPr>
                <w:rFonts w:ascii="Calibri" w:hAnsi="Calibri"/>
                <w:sz w:val="16"/>
              </w:rPr>
              <w:t>Tarjeta</w:t>
            </w:r>
          </w:p>
        </w:tc>
        <w:tc>
          <w:tcPr>
            <w:tcW w:type="dxa" w:w="4320"/>
            <w:vAlign w:val="top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spacing w:line="240" w:lineRule="auto"/>
            </w:pPr>
            <w:r>
              <w:rPr>
                <w:rFonts w:ascii="Calibri" w:hAnsi="Calibri"/>
                <w:sz w:val="16"/>
              </w:rPr>
              <w:t>Ventas netas</w:t>
            </w:r>
          </w:p>
        </w:tc>
        <w:tc>
          <w:tcPr>
            <w:tcW w:type="dxa" w:w="3600"/>
            <w:vAlign w:val="top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spacing w:line="240" w:lineRule="auto"/>
            </w:pPr>
            <w:r>
              <w:rPr>
                <w:rFonts w:ascii="Calibri" w:hAnsi="Calibri"/>
                <w:sz w:val="16"/>
              </w:rPr>
              <w:t>Responde a filtros globales.</w:t>
            </w:r>
          </w:p>
        </w:tc>
      </w:tr>
      <w:tr>
        <w:trPr>
          <w:cantSplit/>
        </w:trPr>
        <w:tc>
          <w:tcPr>
            <w:tcW w:type="dxa" w:w="2880"/>
            <w:vAlign w:val="top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spacing w:line="240" w:lineRule="auto"/>
            </w:pPr>
            <w:r>
              <w:rPr>
                <w:rFonts w:ascii="Calibri" w:hAnsi="Calibri"/>
                <w:sz w:val="16"/>
              </w:rPr>
              <w:t>Tarjeta</w:t>
            </w:r>
          </w:p>
        </w:tc>
        <w:tc>
          <w:tcPr>
            <w:tcW w:type="dxa" w:w="4320"/>
            <w:vAlign w:val="top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spacing w:line="240" w:lineRule="auto"/>
            </w:pPr>
            <w:r>
              <w:rPr>
                <w:rFonts w:ascii="Calibri" w:hAnsi="Calibri"/>
                <w:sz w:val="16"/>
              </w:rPr>
              <w:t>Cantidad de ventas</w:t>
            </w:r>
          </w:p>
        </w:tc>
        <w:tc>
          <w:tcPr>
            <w:tcW w:type="dxa" w:w="3600"/>
            <w:vAlign w:val="top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spacing w:line="240" w:lineRule="auto"/>
            </w:pPr>
            <w:r>
              <w:rPr>
                <w:rFonts w:ascii="Calibri" w:hAnsi="Calibri"/>
                <w:sz w:val="16"/>
              </w:rPr>
              <w:t>Responde a filtros globales.</w:t>
            </w:r>
          </w:p>
        </w:tc>
      </w:tr>
      <w:tr>
        <w:trPr>
          <w:cantSplit/>
        </w:trPr>
        <w:tc>
          <w:tcPr>
            <w:tcW w:type="dxa" w:w="2880"/>
            <w:vAlign w:val="top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spacing w:line="240" w:lineRule="auto"/>
            </w:pPr>
            <w:r>
              <w:rPr>
                <w:rFonts w:ascii="Calibri" w:hAnsi="Calibri"/>
                <w:sz w:val="16"/>
              </w:rPr>
              <w:t>Tarjeta</w:t>
            </w:r>
          </w:p>
        </w:tc>
        <w:tc>
          <w:tcPr>
            <w:tcW w:type="dxa" w:w="4320"/>
            <w:vAlign w:val="top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spacing w:line="240" w:lineRule="auto"/>
            </w:pPr>
            <w:r>
              <w:rPr>
                <w:rFonts w:ascii="Calibri" w:hAnsi="Calibri"/>
                <w:sz w:val="16"/>
              </w:rPr>
              <w:t>Ticket promedio</w:t>
            </w:r>
          </w:p>
        </w:tc>
        <w:tc>
          <w:tcPr>
            <w:tcW w:type="dxa" w:w="3600"/>
            <w:vAlign w:val="top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spacing w:line="240" w:lineRule="auto"/>
            </w:pPr>
            <w:r>
              <w:rPr>
                <w:rFonts w:ascii="Calibri" w:hAnsi="Calibri"/>
                <w:sz w:val="16"/>
              </w:rPr>
              <w:t>Responde a filtros globales.</w:t>
            </w:r>
          </w:p>
        </w:tc>
      </w:tr>
      <w:tr>
        <w:trPr>
          <w:cantSplit/>
        </w:trPr>
        <w:tc>
          <w:tcPr>
            <w:tcW w:type="dxa" w:w="2880"/>
            <w:vAlign w:val="top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spacing w:line="240" w:lineRule="auto"/>
            </w:pPr>
            <w:r>
              <w:rPr>
                <w:rFonts w:ascii="Calibri" w:hAnsi="Calibri"/>
                <w:sz w:val="16"/>
              </w:rPr>
              <w:t>Tarjeta</w:t>
            </w:r>
          </w:p>
        </w:tc>
        <w:tc>
          <w:tcPr>
            <w:tcW w:type="dxa" w:w="4320"/>
            <w:vAlign w:val="top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spacing w:line="240" w:lineRule="auto"/>
            </w:pPr>
            <w:r>
              <w:rPr>
                <w:rFonts w:ascii="Calibri" w:hAnsi="Calibri"/>
                <w:sz w:val="16"/>
              </w:rPr>
              <w:t>Unidades vendidas</w:t>
            </w:r>
          </w:p>
        </w:tc>
        <w:tc>
          <w:tcPr>
            <w:tcW w:type="dxa" w:w="3600"/>
            <w:vAlign w:val="top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spacing w:line="240" w:lineRule="auto"/>
            </w:pPr>
            <w:r>
              <w:rPr>
                <w:rFonts w:ascii="Calibri" w:hAnsi="Calibri"/>
                <w:sz w:val="16"/>
              </w:rPr>
              <w:t>Responde a filtros globales.</w:t>
            </w:r>
          </w:p>
        </w:tc>
      </w:tr>
      <w:tr>
        <w:trPr>
          <w:cantSplit/>
        </w:trPr>
        <w:tc>
          <w:tcPr>
            <w:tcW w:type="dxa" w:w="2880"/>
            <w:vAlign w:val="top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spacing w:line="240" w:lineRule="auto"/>
            </w:pPr>
            <w:r>
              <w:rPr>
                <w:rFonts w:ascii="Calibri" w:hAnsi="Calibri"/>
                <w:sz w:val="16"/>
              </w:rPr>
              <w:t>Línea</w:t>
            </w:r>
          </w:p>
        </w:tc>
        <w:tc>
          <w:tcPr>
            <w:tcW w:type="dxa" w:w="4320"/>
            <w:vAlign w:val="top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spacing w:line="240" w:lineRule="auto"/>
            </w:pPr>
            <w:r>
              <w:rPr>
                <w:rFonts w:ascii="Calibri" w:hAnsi="Calibri"/>
                <w:sz w:val="16"/>
              </w:rPr>
              <w:t>Ventas por tiempo</w:t>
            </w:r>
          </w:p>
        </w:tc>
        <w:tc>
          <w:tcPr>
            <w:tcW w:type="dxa" w:w="3600"/>
            <w:vAlign w:val="top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spacing w:line="240" w:lineRule="auto"/>
            </w:pPr>
            <w:r>
              <w:rPr>
                <w:rFonts w:ascii="Calibri" w:hAnsi="Calibri"/>
                <w:sz w:val="16"/>
              </w:rPr>
              <w:t>Drill-down día/mes/año.</w:t>
            </w:r>
          </w:p>
        </w:tc>
      </w:tr>
      <w:tr>
        <w:trPr>
          <w:cantSplit/>
        </w:trPr>
        <w:tc>
          <w:tcPr>
            <w:tcW w:type="dxa" w:w="2880"/>
            <w:vAlign w:val="top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spacing w:line="240" w:lineRule="auto"/>
            </w:pPr>
            <w:r>
              <w:rPr>
                <w:rFonts w:ascii="Calibri" w:hAnsi="Calibri"/>
                <w:sz w:val="16"/>
              </w:rPr>
              <w:t>Barras</w:t>
            </w:r>
          </w:p>
        </w:tc>
        <w:tc>
          <w:tcPr>
            <w:tcW w:type="dxa" w:w="4320"/>
            <w:vAlign w:val="top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spacing w:line="240" w:lineRule="auto"/>
            </w:pPr>
            <w:r>
              <w:rPr>
                <w:rFonts w:ascii="Calibri" w:hAnsi="Calibri"/>
                <w:sz w:val="16"/>
              </w:rPr>
              <w:t>Ventas por categoría/producto</w:t>
            </w:r>
          </w:p>
        </w:tc>
        <w:tc>
          <w:tcPr>
            <w:tcW w:type="dxa" w:w="3600"/>
            <w:vAlign w:val="top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spacing w:line="240" w:lineRule="auto"/>
            </w:pPr>
            <w:r>
              <w:rPr>
                <w:rFonts w:ascii="Calibri" w:hAnsi="Calibri"/>
                <w:sz w:val="16"/>
              </w:rPr>
              <w:t>Cross-filter al seleccionar categoría.</w:t>
            </w:r>
          </w:p>
        </w:tc>
      </w:tr>
    </w:tbl>
    <w:p>
      <w:pPr>
        <w:pStyle w:val="Heading1"/>
      </w:pPr>
      <w:r>
        <w:t>2. Páginas complementarias</w:t>
      </w:r>
    </w:p>
    <w:p>
      <w:pPr>
        <w:pStyle w:val="ListBullet"/>
        <w:spacing w:line="360" w:lineRule="auto"/>
      </w:pPr>
      <w:r>
        <w:t>Productos: top/bottom por ventas y unidades.</w:t>
      </w:r>
    </w:p>
    <w:p>
      <w:pPr>
        <w:pStyle w:val="ListBullet"/>
        <w:spacing w:line="360" w:lineRule="auto"/>
      </w:pPr>
      <w:r>
        <w:t>Equipo: ventas registradas por usuario, sin interpretar automáticamente productividad.</w:t>
      </w:r>
    </w:p>
    <w:p>
      <w:pPr>
        <w:pStyle w:val="ListBullet"/>
        <w:spacing w:line="360" w:lineRule="auto"/>
      </w:pPr>
      <w:r>
        <w:t>Pagos: distribución por método principal.</w:t>
      </w:r>
    </w:p>
    <w:p>
      <w:pPr>
        <w:pStyle w:val="ListBullet"/>
        <w:spacing w:line="360" w:lineRule="auto"/>
      </w:pPr>
      <w:r>
        <w:t>Calidad: reconciliación OLTP/Data Mart y filas rechazadas.</w:t>
      </w:r>
    </w:p>
    <w:p>
      <w:pPr>
        <w:pStyle w:val="ListBullet"/>
        <w:spacing w:line="360" w:lineRule="auto"/>
      </w:pPr>
      <w:r>
        <w:t>Fiado: solo si se construye un mart específico o se aclara que es saldo actual.</w:t>
      </w:r>
    </w:p>
    <w:p>
      <w:pPr>
        <w:pStyle w:val="Heading1"/>
      </w:pPr>
      <w:r>
        <w:t>3. Filtros globales</w:t>
      </w:r>
    </w:p>
    <w:p>
      <w:r>
        <w:t>Fecha, negocio, categoría, usuario y método de pago deben actuar sobre los visuales relacionados. Power BI debe mantener relaciones 1:* desde las dimensiones hacia FactVentaDetalle.</w:t>
      </w:r>
    </w:p>
    <w:p>
      <w:pPr>
        <w:pStyle w:val="Heading1"/>
      </w:pPr>
      <w:r>
        <w:t>4. Métricas DAX conceptuales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rPr>
          <w:tblHeader w:val="true"/>
          <w:cantSplit/>
        </w:trPr>
        <w:tc>
          <w:tcPr>
            <w:tcW w:type="dxa" w:w="3312"/>
            <w:shd w:fill="0F3D56"/>
            <w:vAlign w:val="center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spacing w:line="240" w:lineRule="auto"/>
              <w:jc w:val="center"/>
            </w:pPr>
            <w:r>
              <w:rPr>
                <w:rFonts w:ascii="Calibri" w:hAnsi="Calibri"/>
                <w:b/>
                <w:color w:val="FFFFFF"/>
                <w:sz w:val="16"/>
              </w:rPr>
              <w:t>Medida</w:t>
            </w:r>
          </w:p>
        </w:tc>
        <w:tc>
          <w:tcPr>
            <w:tcW w:type="dxa" w:w="7488"/>
            <w:shd w:fill="0F3D56"/>
            <w:vAlign w:val="center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spacing w:line="240" w:lineRule="auto"/>
              <w:jc w:val="center"/>
            </w:pPr>
            <w:r>
              <w:rPr>
                <w:rFonts w:ascii="Calibri" w:hAnsi="Calibri"/>
                <w:b/>
                <w:color w:val="FFFFFF"/>
                <w:sz w:val="16"/>
              </w:rPr>
              <w:t>Expresión conceptual</w:t>
            </w:r>
          </w:p>
        </w:tc>
      </w:tr>
      <w:tr>
        <w:trPr>
          <w:cantSplit/>
        </w:trPr>
        <w:tc>
          <w:tcPr>
            <w:tcW w:type="dxa" w:w="3312"/>
            <w:vAlign w:val="top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spacing w:line="240" w:lineRule="auto"/>
            </w:pPr>
            <w:r>
              <w:rPr>
                <w:rFonts w:ascii="Calibri" w:hAnsi="Calibri"/>
                <w:sz w:val="16"/>
              </w:rPr>
              <w:t>Ventas Netas</w:t>
            </w:r>
          </w:p>
        </w:tc>
        <w:tc>
          <w:tcPr>
            <w:tcW w:type="dxa" w:w="7488"/>
            <w:vAlign w:val="top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spacing w:line="240" w:lineRule="auto"/>
            </w:pPr>
            <w:r>
              <w:rPr>
                <w:rFonts w:ascii="Calibri" w:hAnsi="Calibri"/>
                <w:sz w:val="16"/>
              </w:rPr>
              <w:t>SUM(FactVentaDetalle[neto_linea])</w:t>
            </w:r>
          </w:p>
        </w:tc>
      </w:tr>
      <w:tr>
        <w:trPr>
          <w:cantSplit/>
        </w:trPr>
        <w:tc>
          <w:tcPr>
            <w:tcW w:type="dxa" w:w="3312"/>
            <w:vAlign w:val="top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spacing w:line="240" w:lineRule="auto"/>
            </w:pPr>
            <w:r>
              <w:rPr>
                <w:rFonts w:ascii="Calibri" w:hAnsi="Calibri"/>
                <w:sz w:val="16"/>
              </w:rPr>
              <w:t>Cantidad Ventas</w:t>
            </w:r>
          </w:p>
        </w:tc>
        <w:tc>
          <w:tcPr>
            <w:tcW w:type="dxa" w:w="7488"/>
            <w:vAlign w:val="top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spacing w:line="240" w:lineRule="auto"/>
            </w:pPr>
            <w:r>
              <w:rPr>
                <w:rFonts w:ascii="Calibri" w:hAnsi="Calibri"/>
                <w:sz w:val="16"/>
              </w:rPr>
              <w:t>DISTINCTCOUNT(FactVentaDetalle[venta_id_origen])</w:t>
            </w:r>
          </w:p>
        </w:tc>
      </w:tr>
      <w:tr>
        <w:trPr>
          <w:cantSplit/>
        </w:trPr>
        <w:tc>
          <w:tcPr>
            <w:tcW w:type="dxa" w:w="3312"/>
            <w:vAlign w:val="top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spacing w:line="240" w:lineRule="auto"/>
            </w:pPr>
            <w:r>
              <w:rPr>
                <w:rFonts w:ascii="Calibri" w:hAnsi="Calibri"/>
                <w:sz w:val="16"/>
              </w:rPr>
              <w:t>Ticket Promedio</w:t>
            </w:r>
          </w:p>
        </w:tc>
        <w:tc>
          <w:tcPr>
            <w:tcW w:type="dxa" w:w="7488"/>
            <w:vAlign w:val="top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spacing w:line="240" w:lineRule="auto"/>
            </w:pPr>
            <w:r>
              <w:rPr>
                <w:rFonts w:ascii="Calibri" w:hAnsi="Calibri"/>
                <w:sz w:val="16"/>
              </w:rPr>
              <w:t>DIVIDE([Ventas Netas],[Cantidad Ventas])</w:t>
            </w:r>
          </w:p>
        </w:tc>
      </w:tr>
      <w:tr>
        <w:trPr>
          <w:cantSplit/>
        </w:trPr>
        <w:tc>
          <w:tcPr>
            <w:tcW w:type="dxa" w:w="3312"/>
            <w:vAlign w:val="top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spacing w:line="240" w:lineRule="auto"/>
            </w:pPr>
            <w:r>
              <w:rPr>
                <w:rFonts w:ascii="Calibri" w:hAnsi="Calibri"/>
                <w:sz w:val="16"/>
              </w:rPr>
              <w:t>Unidades Vendidas</w:t>
            </w:r>
          </w:p>
        </w:tc>
        <w:tc>
          <w:tcPr>
            <w:tcW w:type="dxa" w:w="7488"/>
            <w:vAlign w:val="top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spacing w:line="240" w:lineRule="auto"/>
            </w:pPr>
            <w:r>
              <w:rPr>
                <w:rFonts w:ascii="Calibri" w:hAnsi="Calibri"/>
                <w:sz w:val="16"/>
              </w:rPr>
              <w:t>SUM(FactVentaDetalle[cantidad])</w:t>
            </w:r>
          </w:p>
        </w:tc>
      </w:tr>
    </w:tbl>
    <w:p>
      <w:pPr>
        <w:pStyle w:val="Heading1"/>
      </w:pPr>
      <w:r>
        <w:t>5. Estado</w:t>
      </w:r>
    </w:p>
    <w:p>
      <w:r>
        <w:t>El dashboard está especificado, pero no se entrega un archivo PBIX afirmado como funcional mientras el Data Mart no haya sido cargado y reconciliado. Las capturas del diagrama son un wireframe conceptual, no evidencia de ejecución.</w:t>
      </w:r>
    </w:p>
    <w:p>
      <w:pPr>
        <w:pStyle w:val="Heading1"/>
      </w:pPr>
      <w:r>
        <w:t>Fuentes y límites de evidencia</w:t>
      </w:r>
    </w:p>
    <w:p>
      <w:pPr>
        <w:pStyle w:val="ListBullet"/>
        <w:spacing w:line="360" w:lineRule="auto"/>
      </w:pPr>
      <w:r>
        <w:t>Examen Transversal de Inteligencia de Negocios: exige metodología Kimball, proceso ETL, modelo dimensional y dashboard relacionado.</w:t>
      </w:r>
    </w:p>
    <w:p>
      <w:pPr>
        <w:pStyle w:val="ListBullet"/>
        <w:spacing w:line="360" w:lineRule="auto"/>
      </w:pPr>
      <w:r>
        <w:t>Informe Bike Z del mismo equipo: utiliza Data Mart, esquema estrella, tabla de hechos, dimensiones, surrogate keys, ETL y Power BI.</w:t>
      </w:r>
    </w:p>
    <w:p>
      <w:pPr>
        <w:pStyle w:val="ListBullet"/>
        <w:spacing w:line="360" w:lineRule="auto"/>
      </w:pPr>
      <w:r>
        <w:t>Esquema vigente de Localito en PostgreSQL: negocios, usuarios, productos, ventas, detalle_ventas, clientes, fiado, caja y auditoría.</w:t>
      </w:r>
    </w:p>
    <w:p>
      <w:pPr>
        <w:pStyle w:val="ListBullet"/>
        <w:spacing w:line="360" w:lineRule="auto"/>
      </w:pPr>
      <w:r>
        <w:t>El bloque BI de Localito es un diseño académico implementable. Los scripts y casos de prueba no se presentan como ejecutados contra producción ni existe un archivo PBIX final mientras no se cargue un Data Mart autorizado.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008" w:right="1080" w:bottom="1008" w:left="1080" w:header="432" w:footer="432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Calibri" w:hAnsi="Calibri"/>
        <w:color w:val="64748B"/>
        <w:sz w:val="16"/>
      </w:rPr>
      <w:t xml:space="preserve">Ingeniería en Informática · Capstone 2026 · </w:t>
    </w:r>
    <w:r>
      <w:t xml:space="preserve">Página </w:t>
      <w:fldChar w:fldCharType="begin"/>
      <w:instrText xml:space="preserve">PAGE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Calibri" w:hAnsi="Calibri"/>
        <w:color w:val="64748B"/>
        <w:sz w:val="16"/>
      </w:rPr>
      <w:t>LOCALITO · INTELIGENCIA DE NEGOCIOS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120"/>
      <w:jc w:val="both"/>
    </w:pPr>
    <w:rPr>
      <w:rFonts w:ascii="Calibri" w:hAnsi="Calibri" w:eastAsia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 w:eastAsia="Calibri"/>
      <w:b/>
      <w:bCs/>
      <w:color w:val="0F3D56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 w:eastAsia="Calibri"/>
      <w:b/>
      <w:bCs/>
      <w:color w:val="374151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Calibri" w:hAnsi="Calibri" w:eastAsia="Calibr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