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40"/>
        </w:rPr>
        <w:t>Decisiones Arquitectónicas (ADR)</w:t>
      </w:r>
    </w:p>
    <w:p>
      <w:pPr>
        <w:jc w:val="center"/>
      </w:pPr>
      <w:r>
        <w:rPr>
          <w:rFonts w:ascii="Arial" w:hAnsi="Arial"/>
          <w:color w:val="475569"/>
          <w:sz w:val="22"/>
        </w:rPr>
        <w:t>Registro narrativo de decisiones, consecuencias y revisión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Un ADR conserva el porqué de una decisión. No intenta describir todo el sistema: registra el contexto, la alternativa elegida, sus beneficios y el costo que el equipo acepta.</w:t>
            </w:r>
          </w:p>
        </w:tc>
      </w:tr>
    </w:tbl>
    <w:p>
      <w:pPr>
        <w:pStyle w:val="Heading1"/>
      </w:pPr>
      <w:r>
        <w:t>ADR-001 · Separación Web + API + Base de Datos</w:t>
      </w:r>
    </w:p>
    <w:p>
      <w:r>
        <w:t>Contexto: las reglas de negocio, permisos y persistencia no deben depender de la interfaz.</w:t>
      </w:r>
    </w:p>
    <w:p>
      <w:r>
        <w:t>Decisión: usar PWA React/Vite, API Node/Express y PostgreSQL como componentes separados.</w:t>
      </w:r>
    </w:p>
    <w:p>
      <w:r>
        <w:t>Consecuencia: el backend puede proteger reglas y datos, pero el despliegue tiene más piezas que una aplicación monolítica.</w:t>
      </w:r>
    </w:p>
    <w:p>
      <w:pPr>
        <w:pStyle w:val="Heading1"/>
      </w:pPr>
      <w:r>
        <w:t>ADR-002 · Monorepo con workspaces</w:t>
      </w:r>
    </w:p>
    <w:p>
      <w:r>
        <w:t>Contexto: web y API comparten contratos y evolucionan en los mismos Sprints.</w:t>
      </w:r>
    </w:p>
    <w:p>
      <w:r>
        <w:t>Decisión: mantener apps/* y packages/* bajo npm workspaces.</w:t>
      </w:r>
    </w:p>
    <w:p>
      <w:r>
        <w:t>Consecuencia: se simplifica el typecheck coordinado; el equipo debe cuidar que los paquetes no se acoplen sin necesidad.</w:t>
      </w:r>
    </w:p>
    <w:p>
      <w:pPr>
        <w:pStyle w:val="Heading1"/>
      </w:pPr>
      <w:r>
        <w:t>ADR-003 · PostgreSQL obligatorio en producción</w:t>
      </w:r>
    </w:p>
    <w:p>
      <w:r>
        <w:t>Contexto: una API serverless no puede confiar en memoria efímera.</w:t>
      </w:r>
    </w:p>
    <w:p>
      <w:r>
        <w:t>Decisión: detener el backend de producción si no existe una conexión persistente válida.</w:t>
      </w:r>
    </w:p>
    <w:p>
      <w:r>
        <w:t>Consecuencia: se evita aceptar ventas que desaparezcan al reiniciar, pero aumentan las exigencias de respaldo, migración y prueba transaccional.</w:t>
      </w:r>
    </w:p>
    <w:p>
      <w:pPr>
        <w:pStyle w:val="Heading1"/>
      </w:pPr>
      <w:r>
        <w:t>ADR-004 · Multi-tenancy resuelto desde la sesión</w:t>
      </w:r>
    </w:p>
    <w:p>
      <w:r>
        <w:t>Contexto: todos los módulos comparten la misma plataforma, pero cada negocio es privado.</w:t>
      </w:r>
    </w:p>
    <w:p>
      <w:r>
        <w:t>Decisión: derivar el tenant desde la sesión y filtrar las operaciones en la API; la base no expone políticas públicas.</w:t>
      </w:r>
    </w:p>
    <w:p>
      <w:r>
        <w:t>Consecuencia: la seguridad depende de disciplina de consultas y pruebas de aislamiento.</w:t>
      </w:r>
    </w:p>
    <w:p>
      <w:pPr>
        <w:pStyle w:val="Heading1"/>
      </w:pPr>
      <w:r>
        <w:t>ADR-005 · PWA en lugar de app nativa</w:t>
      </w:r>
    </w:p>
    <w:p>
      <w:r>
        <w:t>Contexto: el público objetivo necesita acceso simple desde teléfonos de bajo costo.</w:t>
      </w:r>
    </w:p>
    <w:p>
      <w:r>
        <w:t>Decisión: entregar una PWA instalable con diseño mobile-first.</w:t>
      </w:r>
    </w:p>
    <w:p>
      <w:r>
        <w:t>Consecuencia: se reduce el costo de distribución, aceptando limitaciones de cámara/offline propias del navegador.</w:t>
      </w:r>
    </w:p>
    <w:p>
      <w:pPr>
        <w:pStyle w:val="Heading1"/>
      </w:pPr>
      <w:r>
        <w:t>ADR-006 · Cola offline solo para ventas</w:t>
      </w:r>
    </w:p>
    <w:p>
      <w:r>
        <w:t>Contexto: sincronizar todo el dominio offline eleva el riesgo de conflictos.</w:t>
      </w:r>
    </w:p>
    <w:p>
      <w:r>
        <w:t>Decisión: conservar únicamente ventas pendientes por negocio/usuario.</w:t>
      </w:r>
    </w:p>
    <w:p>
      <w:r>
        <w:t>Consecuencia: el alcance es entendible y auditable; los ajustes de stock y la IA siguen requiriendo conexión.</w:t>
      </w:r>
    </w:p>
    <w:p>
      <w:pPr>
        <w:pStyle w:val="Heading1"/>
      </w:pPr>
      <w:r>
        <w:t>ADR-007 · IA con human-in-the-loop</w:t>
      </w:r>
    </w:p>
    <w:p>
      <w:r>
        <w:t>Contexto: una detección visual puede equivocarse.</w:t>
      </w:r>
    </w:p>
    <w:p>
      <w:r>
        <w:t>Decisión: la IA propone; Localito valida; el usuario confirma antes de modificar el ticket.</w:t>
      </w:r>
    </w:p>
    <w:p>
      <w:r>
        <w:t>Consecuencia: se conserva velocidad potencial sin entregar a la IA control sobre stock o precios.</w:t>
      </w:r>
    </w:p>
    <w:p>
      <w:pPr>
        <w:pStyle w:val="Heading1"/>
      </w:pPr>
      <w:r>
        <w:t>ADR-008 · Pagos externos y simulaciones académicas</w:t>
      </w:r>
    </w:p>
    <w:p>
      <w:r>
        <w:t>Contexto: la tesis necesita demostrar flujo sin procesar dinero real.</w:t>
      </w:r>
    </w:p>
    <w:p>
      <w:r>
        <w:t>Decisión: registrar medios externos y simular contrataciones de plan.</w:t>
      </w:r>
    </w:p>
    <w:p>
      <w:r>
        <w:t>Consecuencia: se evita alcance regulatorio, pero no existe conciliación automática real.</w:t>
      </w:r>
    </w:p>
    <w:p>
      <w:pPr>
        <w:pStyle w:val="Heading1"/>
      </w:pPr>
      <w:r>
        <w:t>ADR-009 · Contratos TypeScript compartidos</w:t>
      </w:r>
    </w:p>
    <w:p>
      <w:r>
        <w:t>Contexto: frontend y backend deben hablar el mismo lenguaje de datos.</w:t>
      </w:r>
    </w:p>
    <w:p>
      <w:r>
        <w:t>Decisión: centralizar tipos/contratos comunes en @localito/shared.</w:t>
      </w:r>
    </w:p>
    <w:p>
      <w:r>
        <w:t>Consecuencia: reduce divergencia, aunque no sustituye validación runtime en la API.</w:t>
      </w:r>
    </w:p>
    <w:p>
      <w:pPr>
        <w:pStyle w:val="Heading1"/>
      </w:pPr>
      <w:r>
        <w:t>ADR-010 · CI con check completo</w:t>
      </w:r>
    </w:p>
    <w:p>
      <w:r>
        <w:t>Contexto: los cambios frecuentes de Scrum requieren feedback temprano.</w:t>
      </w:r>
    </w:p>
    <w:p>
      <w:r>
        <w:t>Decisión: ejecutar typecheck, pruebas y build como secuencia reproducible.</w:t>
      </w:r>
    </w:p>
    <w:p>
      <w:r>
        <w:t>Consecuencia: mejora la detección de regresiones técnicas, pero no reemplaza pruebas físicas, visuales o con usuarios.</w:t>
      </w:r>
    </w:p>
    <w:p>
      <w:pPr>
        <w:pStyle w:val="Heading1"/>
      </w:pPr>
      <w:r>
        <w:t>Regla de mantenimiento</w:t>
      </w:r>
    </w:p>
    <w:p>
      <w:r>
        <w:t>Una decisión se marca como reemplazada solo cuando el código y la documentación reflejan la alternativa nueva. Los ADR no se reescriben para parecer siempre correctos; se conserva el historial y se registra el cambio.</w:t>
      </w:r>
    </w:p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README.md, docs/Estado-Actual.md, docs/Alcance-Tesis.md, docs/Backlog-Scrum-Jira.md y Documento-Proyecto-Localito.md.</w:t>
      </w:r>
    </w:p>
    <w:p>
      <w:pPr>
        <w:pStyle w:val="ListBullet"/>
      </w:pPr>
      <w:r>
        <w:t>Repositorio LocalitoSaaS: package.json, apps/web/package.json, apps/api/package.json, db/schema.sql y estructura de apps/api/src.</w:t>
      </w:r>
    </w:p>
    <w:p>
      <w:pPr>
        <w:pStyle w:val="ListBullet"/>
      </w:pPr>
      <w:r>
        <w:t>Material académico revisado en Drive: DAS (Documento de Arquitectura de Sistema), Validación ATAM y Validación SAAM desarrollados durante la carrera.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ARQUITECTURA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