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40"/>
        </w:rPr>
        <w:t>Arquitectura Evolutiva dentro de Scrum</w:t>
      </w:r>
    </w:p>
    <w:p>
      <w:pPr>
        <w:jc w:val="center"/>
      </w:pPr>
      <w:r>
        <w:rPr>
          <w:rFonts w:ascii="Arial" w:hAnsi="Arial"/>
          <w:color w:val="475569"/>
          <w:sz w:val="22"/>
        </w:rPr>
        <w:t>Cómo la arquitectura acompaña los 8 Sprints del proyecto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Localito no se documenta como una secuencia 'diseñar toda la arquitectura y luego desarrollar'. Las decisiones arquitectónicas se fueron consolidando a medida que el Product Backlog introdujo nuevas necesidades.</w:t>
            </w:r>
          </w:p>
        </w:tc>
      </w:tr>
    </w:tbl>
    <w:p>
      <w:pPr>
        <w:pStyle w:val="Heading1"/>
      </w:pPr>
      <w:r>
        <w:t>1. Criterio de trabajo</w:t>
      </w:r>
    </w:p>
    <w:p>
      <w:r>
        <w:t>La arquitectura funciona como una restricción y una guía para cada incremento. Cuando una historia introduce un riesgo transversal —por ejemplo multi-tenancy, offline o IA— el equipo registra la decisión, ajusta pruebas y refina el diseño. El Product Goal sigue siendo el eje del proyecto.</w:t>
      </w:r>
    </w:p>
    <w:p>
      <w:pPr>
        <w:pStyle w:val="Heading1"/>
      </w:pPr>
      <w:r>
        <w:t>2. Evolución por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3744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Incremento</w:t>
            </w:r>
          </w:p>
        </w:tc>
        <w:tc>
          <w:tcPr>
            <w:tcW w:type="dxa" w:w="5328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Efecto arquitectónico principal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Sprint 1 · 10–23 ago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Base SaaS, identidad, aislamiento y catálogo.</w:t>
            </w:r>
          </w:p>
        </w:tc>
        <w:tc>
          <w:tcPr>
            <w:tcW w:type="dxa" w:w="53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Separación Web/API/BD; tenant y sesión como frontera de seguridad.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Sprint 2 · 24 ago–6 sep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Inventario, abastecimiento y núcleo POS.</w:t>
            </w:r>
          </w:p>
        </w:tc>
        <w:tc>
          <w:tcPr>
            <w:tcW w:type="dxa" w:w="53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Reglas transaccionales y persistencia centralizada.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Sprint 3 · 7–20 sep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Fiado, caja y reportes básicos.</w:t>
            </w:r>
          </w:p>
        </w:tc>
        <w:tc>
          <w:tcPr>
            <w:tcW w:type="dxa" w:w="53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Nuevas relaciones de datos y trazabilidad de movimientos.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Sprint 4 · 21 sep–4 oct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IA asistida, pagos externos y métricas.</w:t>
            </w:r>
          </w:p>
        </w:tc>
        <w:tc>
          <w:tcPr>
            <w:tcW w:type="dxa" w:w="53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Integración visual server-side con revisión humana; pagos fuera del sistema.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Sprint 5 · 5–18 oct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PWA, continuidad, pruebas y producción.</w:t>
            </w:r>
          </w:p>
        </w:tc>
        <w:tc>
          <w:tcPr>
            <w:tcW w:type="dxa" w:w="53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Service worker, IndexedDB, cola acotada e idempotencia.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Sprint 6 · 19 oct–1 nov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Planes, permisos y experiencia SaaS.</w:t>
            </w:r>
          </w:p>
        </w:tc>
        <w:tc>
          <w:tcPr>
            <w:tcW w:type="dxa" w:w="53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Entitlements centralizados y evolución del control de acceso.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Sprint 7 · 2–15 nov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Hardening funcional.</w:t>
            </w:r>
          </w:p>
        </w:tc>
        <w:tc>
          <w:tcPr>
            <w:tcW w:type="dxa" w:w="53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Auditoría, reportes avanzados y ajuste de integridad.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Sprint 8 · 16–29 nov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Cierre de evidencia.</w:t>
            </w:r>
          </w:p>
        </w:tc>
        <w:tc>
          <w:tcPr>
            <w:tcW w:type="dxa" w:w="53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Regresión, dispositivos físicos, PostgreSQL/concurrencia y secretos.</w:t>
            </w:r>
          </w:p>
        </w:tc>
      </w:tr>
    </w:tbl>
    <w:p>
      <w:pPr>
        <w:pStyle w:val="Heading1"/>
      </w:pPr>
      <w:r>
        <w:t>3. Definition of Done y arquitectura</w:t>
      </w:r>
    </w:p>
    <w:p>
      <w:pPr>
        <w:pStyle w:val="ListBullet"/>
      </w:pPr>
      <w:r>
        <w:t>Una historia crítica no se considera cerrada solo porque compila.</w:t>
      </w:r>
    </w:p>
    <w:p>
      <w:pPr>
        <w:pStyle w:val="ListBullet"/>
      </w:pPr>
      <w:r>
        <w:t>Las reglas de negocio sensibles deben quedar protegidas en la API.</w:t>
      </w:r>
    </w:p>
    <w:p>
      <w:pPr>
        <w:pStyle w:val="ListBullet"/>
      </w:pPr>
      <w:r>
        <w:t>Los cambios de contrato deben mantener coherencia entre web, API y shared.</w:t>
      </w:r>
    </w:p>
    <w:p>
      <w:pPr>
        <w:pStyle w:val="ListBullet"/>
      </w:pPr>
      <w:r>
        <w:t>Los flujos con persistencia deben contar con pruebas repetibles.</w:t>
      </w:r>
    </w:p>
    <w:p>
      <w:pPr>
        <w:pStyle w:val="ListBullet"/>
      </w:pPr>
      <w:r>
        <w:t>Cuando la evidencia no está completa, el backlog mantiene el pendiente visible.</w:t>
      </w:r>
    </w:p>
    <w:p>
      <w:pPr>
        <w:pStyle w:val="Heading1"/>
      </w:pPr>
      <w:r>
        <w:t>4. Evitar una falsa narrativa ágil</w:t>
      </w:r>
    </w:p>
    <w:p>
      <w:r>
        <w:t>Los documentos de arquitectura pueden ser detallados sin convertir el proyecto en cascada. La diferencia está en cómo se usan: no congelan el producto desde el inicio; se actualizan cuando el incremento cambia decisiones, riesgos o límites del sistema.</w:t>
      </w:r>
    </w:p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README.md, docs/Estado-Actual.md, docs/Alcance-Tesis.md, docs/Backlog-Scrum-Jira.md y Documento-Proyecto-Localito.md.</w:t>
      </w:r>
    </w:p>
    <w:p>
      <w:pPr>
        <w:pStyle w:val="ListBullet"/>
      </w:pPr>
      <w:r>
        <w:t>Repositorio LocalitoSaaS: package.json, apps/web/package.json, apps/api/package.json, db/schema.sql y estructura de apps/api/src.</w:t>
      </w:r>
    </w:p>
    <w:p>
      <w:pPr>
        <w:pStyle w:val="ListBullet"/>
      </w:pPr>
      <w:r>
        <w:t>Material académico revisado en Drive: DAS (Documento de Arquitectura de Sistema), Validación ATAM y Validación SAAM desarrollados durante la carrera.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ARQUITECTURA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