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6F5F"/>
          <w:sz w:val="64"/>
        </w:rPr>
        <w:t>LOCALITO</w:t>
      </w:r>
    </w:p>
    <w:p>
      <w:pPr>
        <w:jc w:val="center"/>
      </w:pPr>
      <w:r>
        <w:rPr>
          <w:rFonts w:ascii="Arial" w:hAnsi="Arial"/>
          <w:b/>
          <w:color w:val="1F2937"/>
          <w:sz w:val="40"/>
        </w:rPr>
        <w:t>Estado de Validación de la Arquitectura</w:t>
      </w:r>
    </w:p>
    <w:p>
      <w:pPr>
        <w:jc w:val="center"/>
      </w:pPr>
      <w:r>
        <w:rPr>
          <w:rFonts w:ascii="Arial" w:hAnsi="Arial"/>
          <w:color w:val="475569"/>
          <w:sz w:val="22"/>
        </w:rPr>
        <w:t>Corte documental para cierre académico</w:t>
      </w:r>
    </w:p>
    <w:p/>
    <w:p>
      <w:pPr>
        <w:jc w:val="center"/>
      </w:pPr>
      <w:r>
        <w:rPr>
          <w:rFonts w:ascii="Arial" w:hAnsi="Arial"/>
          <w:sz w:val="20"/>
        </w:rPr>
        <w:t>Equipo: Camilo González · Alexander Patiño · Samuel Solís</w:t>
        <w:br/>
        <w:t>Septiembre 2026</w:t>
      </w:r>
    </w:p>
    <w:p>
      <w:r>
        <w:br w:type="page"/>
      </w:r>
    </w:p>
    <w:tbl>
      <w:tblPr>
        <w:tblW w:type="auto" w:w="0"/>
        <w:jc w:val="center"/>
        <w:tblLook w:firstColumn="1" w:firstRow="1" w:lastColumn="0" w:lastRow="0" w:noHBand="0" w:noVBand="1" w:val="04A0"/>
      </w:tblPr>
      <w:tblGrid>
        <w:gridCol w:w="10166"/>
      </w:tblGrid>
      <w:tr>
        <w:tc>
          <w:tcPr>
            <w:tcW w:type="dxa" w:w="10166"/>
            <w:shd w:fill="E8F3F0"/>
            <w:tcMar>
              <w:top w:w="120" w:type="dxa"/>
              <w:start w:w="120" w:type="dxa"/>
              <w:bottom w:w="120" w:type="dxa"/>
              <w:end w:w="120" w:type="dxa"/>
            </w:tcMar>
            <w:vAlign w:val="center"/>
          </w:tcPr>
          <w:p>
            <w:r>
              <w:rPr>
                <w:rFonts w:ascii="Arial" w:hAnsi="Arial"/>
                <w:color w:val="1F2937"/>
                <w:sz w:val="19"/>
              </w:rPr>
              <w:t>Este documento funciona como control de afirmaciones. Distingue evidencia existente, validación parcial y trabajo pendiente para evitar que la defensa presente como probado algo que todavía no lo está.</w:t>
            </w:r>
          </w:p>
        </w:tc>
      </w:tr>
    </w:tbl>
    <w:p>
      <w:pPr>
        <w:pStyle w:val="Heading1"/>
      </w:pPr>
      <w:r>
        <w:t>1. Validado o respaldado por evidencia actual</w:t>
      </w:r>
    </w:p>
    <w:tbl>
      <w:tblPr>
        <w:tblStyle w:val="TableGrid"/>
        <w:tblW w:type="auto" w:w="0"/>
        <w:jc w:val="center"/>
        <w:tblLook w:firstColumn="1" w:firstRow="1" w:lastColumn="0" w:lastRow="0" w:noHBand="0" w:noVBand="1" w:val="04A0"/>
      </w:tblPr>
      <w:tblGrid>
        <w:gridCol w:w="5083"/>
        <w:gridCol w:w="5083"/>
      </w:tblGrid>
      <w:tr>
        <w:tc>
          <w:tcPr>
            <w:tcW w:type="dxa" w:w="3384"/>
            <w:shd w:fill="1F6F5F"/>
            <w:vAlign w:val="center"/>
            <w:tcMar>
              <w:top w:w="70" w:type="dxa"/>
              <w:start w:w="70" w:type="dxa"/>
              <w:bottom w:w="70" w:type="dxa"/>
              <w:end w:w="70" w:type="dxa"/>
            </w:tcMar>
          </w:tcPr>
          <w:p>
            <w:pPr>
              <w:jc w:val="center"/>
            </w:pPr>
            <w:r>
              <w:rPr>
                <w:rFonts w:ascii="Arial" w:hAnsi="Arial"/>
                <w:b/>
                <w:color w:val="FFFFFF"/>
                <w:sz w:val="17"/>
              </w:rPr>
              <w:t>Elemento</w:t>
            </w:r>
          </w:p>
        </w:tc>
        <w:tc>
          <w:tcPr>
            <w:tcW w:type="dxa" w:w="7488"/>
            <w:shd w:fill="1F6F5F"/>
            <w:vAlign w:val="center"/>
            <w:tcMar>
              <w:top w:w="70" w:type="dxa"/>
              <w:start w:w="70" w:type="dxa"/>
              <w:bottom w:w="70" w:type="dxa"/>
              <w:end w:w="70" w:type="dxa"/>
            </w:tcMar>
          </w:tcPr>
          <w:p>
            <w:pPr>
              <w:jc w:val="center"/>
            </w:pPr>
            <w:r>
              <w:rPr>
                <w:rFonts w:ascii="Arial" w:hAnsi="Arial"/>
                <w:b/>
                <w:color w:val="FFFFFF"/>
                <w:sz w:val="17"/>
              </w:rPr>
              <w:t>Evidencia</w:t>
            </w:r>
          </w:p>
        </w:tc>
      </w:tr>
      <w:tr>
        <w:tc>
          <w:tcPr>
            <w:tcW w:type="dxa" w:w="3384"/>
            <w:vAlign w:val="top"/>
            <w:tcMar>
              <w:top w:w="60" w:type="dxa"/>
              <w:start w:w="60" w:type="dxa"/>
              <w:bottom w:w="60" w:type="dxa"/>
              <w:end w:w="60" w:type="dxa"/>
            </w:tcMar>
          </w:tcPr>
          <w:p>
            <w:r>
              <w:rPr>
                <w:rFonts w:ascii="Arial" w:hAnsi="Arial"/>
                <w:sz w:val="17"/>
              </w:rPr>
              <w:t>Estructura Web/API/shared</w:t>
            </w:r>
          </w:p>
        </w:tc>
        <w:tc>
          <w:tcPr>
            <w:tcW w:type="dxa" w:w="7488"/>
            <w:vAlign w:val="top"/>
            <w:tcMar>
              <w:top w:w="60" w:type="dxa"/>
              <w:start w:w="60" w:type="dxa"/>
              <w:bottom w:w="60" w:type="dxa"/>
              <w:end w:w="60" w:type="dxa"/>
            </w:tcMar>
          </w:tcPr>
          <w:p>
            <w:r>
              <w:rPr>
                <w:rFonts w:ascii="Arial" w:hAnsi="Arial"/>
                <w:sz w:val="17"/>
              </w:rPr>
              <w:t>Workspaces y builds separados documentados en package.json.</w:t>
            </w:r>
          </w:p>
        </w:tc>
      </w:tr>
      <w:tr>
        <w:tc>
          <w:tcPr>
            <w:tcW w:type="dxa" w:w="3384"/>
            <w:vAlign w:val="top"/>
            <w:tcMar>
              <w:top w:w="60" w:type="dxa"/>
              <w:start w:w="60" w:type="dxa"/>
              <w:bottom w:w="60" w:type="dxa"/>
              <w:end w:w="60" w:type="dxa"/>
            </w:tcMar>
          </w:tcPr>
          <w:p>
            <w:r>
              <w:rPr>
                <w:rFonts w:ascii="Arial" w:hAnsi="Arial"/>
                <w:sz w:val="17"/>
              </w:rPr>
              <w:t>API y persistencia</w:t>
            </w:r>
          </w:p>
        </w:tc>
        <w:tc>
          <w:tcPr>
            <w:tcW w:type="dxa" w:w="7488"/>
            <w:vAlign w:val="top"/>
            <w:tcMar>
              <w:top w:w="60" w:type="dxa"/>
              <w:start w:w="60" w:type="dxa"/>
              <w:bottom w:w="60" w:type="dxa"/>
              <w:end w:w="60" w:type="dxa"/>
            </w:tcMar>
          </w:tcPr>
          <w:p>
            <w:r>
              <w:rPr>
                <w:rFonts w:ascii="Arial" w:hAnsi="Arial"/>
                <w:sz w:val="17"/>
              </w:rPr>
              <w:t>Node/Express/TypeScript con acceso PostgreSQL mediante pg.</w:t>
            </w:r>
          </w:p>
        </w:tc>
      </w:tr>
      <w:tr>
        <w:tc>
          <w:tcPr>
            <w:tcW w:type="dxa" w:w="3384"/>
            <w:vAlign w:val="top"/>
            <w:tcMar>
              <w:top w:w="60" w:type="dxa"/>
              <w:start w:w="60" w:type="dxa"/>
              <w:bottom w:w="60" w:type="dxa"/>
              <w:end w:w="60" w:type="dxa"/>
            </w:tcMar>
          </w:tcPr>
          <w:p>
            <w:r>
              <w:rPr>
                <w:rFonts w:ascii="Arial" w:hAnsi="Arial"/>
                <w:sz w:val="17"/>
              </w:rPr>
              <w:t>Aislamiento y roles</w:t>
            </w:r>
          </w:p>
        </w:tc>
        <w:tc>
          <w:tcPr>
            <w:tcW w:type="dxa" w:w="7488"/>
            <w:vAlign w:val="top"/>
            <w:tcMar>
              <w:top w:w="60" w:type="dxa"/>
              <w:start w:w="60" w:type="dxa"/>
              <w:bottom w:w="60" w:type="dxa"/>
              <w:end w:w="60" w:type="dxa"/>
            </w:tcMar>
          </w:tcPr>
          <w:p>
            <w:r>
              <w:rPr>
                <w:rFonts w:ascii="Arial" w:hAnsi="Arial"/>
                <w:sz w:val="17"/>
              </w:rPr>
              <w:t>Existe lógica y pruebas asociadas a sesiones, roles y separación por negocio.</w:t>
            </w:r>
          </w:p>
        </w:tc>
      </w:tr>
      <w:tr>
        <w:tc>
          <w:tcPr>
            <w:tcW w:type="dxa" w:w="3384"/>
            <w:vAlign w:val="top"/>
            <w:tcMar>
              <w:top w:w="60" w:type="dxa"/>
              <w:start w:w="60" w:type="dxa"/>
              <w:bottom w:w="60" w:type="dxa"/>
              <w:end w:w="60" w:type="dxa"/>
            </w:tcMar>
          </w:tcPr>
          <w:p>
            <w:r>
              <w:rPr>
                <w:rFonts w:ascii="Arial" w:hAnsi="Arial"/>
                <w:sz w:val="17"/>
              </w:rPr>
              <w:t>Idempotencia de ventas</w:t>
            </w:r>
          </w:p>
        </w:tc>
        <w:tc>
          <w:tcPr>
            <w:tcW w:type="dxa" w:w="7488"/>
            <w:vAlign w:val="top"/>
            <w:tcMar>
              <w:top w:w="60" w:type="dxa"/>
              <w:start w:w="60" w:type="dxa"/>
              <w:bottom w:w="60" w:type="dxa"/>
              <w:end w:w="60" w:type="dxa"/>
            </w:tcMar>
          </w:tcPr>
          <w:p>
            <w:r>
              <w:rPr>
                <w:rFonts w:ascii="Arial" w:hAnsi="Arial"/>
                <w:sz w:val="17"/>
              </w:rPr>
              <w:t>La arquitectura y el esquema contemplan idempotency key e índice único.</w:t>
            </w:r>
          </w:p>
        </w:tc>
      </w:tr>
      <w:tr>
        <w:tc>
          <w:tcPr>
            <w:tcW w:type="dxa" w:w="3384"/>
            <w:vAlign w:val="top"/>
            <w:tcMar>
              <w:top w:w="60" w:type="dxa"/>
              <w:start w:w="60" w:type="dxa"/>
              <w:bottom w:w="60" w:type="dxa"/>
              <w:end w:w="60" w:type="dxa"/>
            </w:tcMar>
          </w:tcPr>
          <w:p>
            <w:r>
              <w:rPr>
                <w:rFonts w:ascii="Arial" w:hAnsi="Arial"/>
                <w:sz w:val="17"/>
              </w:rPr>
              <w:t>Auditoría</w:t>
            </w:r>
          </w:p>
        </w:tc>
        <w:tc>
          <w:tcPr>
            <w:tcW w:type="dxa" w:w="7488"/>
            <w:vAlign w:val="top"/>
            <w:tcMar>
              <w:top w:w="60" w:type="dxa"/>
              <w:start w:w="60" w:type="dxa"/>
              <w:bottom w:w="60" w:type="dxa"/>
              <w:end w:w="60" w:type="dxa"/>
            </w:tcMar>
          </w:tcPr>
          <w:p>
            <w:r>
              <w:rPr>
                <w:rFonts w:ascii="Arial" w:hAnsi="Arial"/>
                <w:sz w:val="17"/>
              </w:rPr>
              <w:t>Existe consulta paginada, filtros y registro de valores antes/después.</w:t>
            </w:r>
          </w:p>
        </w:tc>
      </w:tr>
      <w:tr>
        <w:tc>
          <w:tcPr>
            <w:tcW w:type="dxa" w:w="3384"/>
            <w:vAlign w:val="top"/>
            <w:tcMar>
              <w:top w:w="60" w:type="dxa"/>
              <w:start w:w="60" w:type="dxa"/>
              <w:bottom w:w="60" w:type="dxa"/>
              <w:end w:w="60" w:type="dxa"/>
            </w:tcMar>
          </w:tcPr>
          <w:p>
            <w:r>
              <w:rPr>
                <w:rFonts w:ascii="Arial" w:hAnsi="Arial"/>
                <w:sz w:val="17"/>
              </w:rPr>
              <w:t>IA con confirmación humana</w:t>
            </w:r>
          </w:p>
        </w:tc>
        <w:tc>
          <w:tcPr>
            <w:tcW w:type="dxa" w:w="7488"/>
            <w:vAlign w:val="top"/>
            <w:tcMar>
              <w:top w:w="60" w:type="dxa"/>
              <w:start w:w="60" w:type="dxa"/>
              <w:bottom w:w="60" w:type="dxa"/>
              <w:end w:w="60" w:type="dxa"/>
            </w:tcMar>
          </w:tcPr>
          <w:p>
            <w:r>
              <w:rPr>
                <w:rFonts w:ascii="Arial" w:hAnsi="Arial"/>
                <w:sz w:val="17"/>
              </w:rPr>
              <w:t>La IA propone; el usuario corrige y confirma; stock/precios provienen de Localito.</w:t>
            </w:r>
          </w:p>
        </w:tc>
      </w:tr>
      <w:tr>
        <w:tc>
          <w:tcPr>
            <w:tcW w:type="dxa" w:w="3384"/>
            <w:vAlign w:val="top"/>
            <w:tcMar>
              <w:top w:w="60" w:type="dxa"/>
              <w:start w:w="60" w:type="dxa"/>
              <w:bottom w:w="60" w:type="dxa"/>
              <w:end w:w="60" w:type="dxa"/>
            </w:tcMar>
          </w:tcPr>
          <w:p>
            <w:r>
              <w:rPr>
                <w:rFonts w:ascii="Arial" w:hAnsi="Arial"/>
                <w:sz w:val="17"/>
              </w:rPr>
              <w:t>CI técnica</w:t>
            </w:r>
          </w:p>
        </w:tc>
        <w:tc>
          <w:tcPr>
            <w:tcW w:type="dxa" w:w="7488"/>
            <w:vAlign w:val="top"/>
            <w:tcMar>
              <w:top w:w="60" w:type="dxa"/>
              <w:start w:w="60" w:type="dxa"/>
              <w:bottom w:w="60" w:type="dxa"/>
              <w:end w:w="60" w:type="dxa"/>
            </w:tcMar>
          </w:tcPr>
          <w:p>
            <w:r>
              <w:rPr>
                <w:rFonts w:ascii="Arial" w:hAnsi="Arial"/>
                <w:sz w:val="17"/>
              </w:rPr>
              <w:t>La secuencia check reúne typecheck, pruebas y build.</w:t>
            </w:r>
          </w:p>
        </w:tc>
      </w:tr>
    </w:tbl>
    <w:p>
      <w:pPr>
        <w:pStyle w:val="Heading1"/>
      </w:pPr>
      <w:r>
        <w:t>2. Validación parcial</w:t>
      </w:r>
    </w:p>
    <w:tbl>
      <w:tblPr>
        <w:tblStyle w:val="TableGrid"/>
        <w:tblW w:type="auto" w:w="0"/>
        <w:jc w:val="center"/>
        <w:tblLook w:firstColumn="1" w:firstRow="1" w:lastColumn="0" w:lastRow="0" w:noHBand="0" w:noVBand="1" w:val="04A0"/>
      </w:tblPr>
      <w:tblGrid>
        <w:gridCol w:w="5083"/>
        <w:gridCol w:w="5083"/>
      </w:tblGrid>
      <w:tr>
        <w:tc>
          <w:tcPr>
            <w:tcW w:type="dxa" w:w="3384"/>
            <w:shd w:fill="1F6F5F"/>
            <w:vAlign w:val="center"/>
            <w:tcMar>
              <w:top w:w="70" w:type="dxa"/>
              <w:start w:w="70" w:type="dxa"/>
              <w:bottom w:w="70" w:type="dxa"/>
              <w:end w:w="70" w:type="dxa"/>
            </w:tcMar>
          </w:tcPr>
          <w:p>
            <w:pPr>
              <w:jc w:val="center"/>
            </w:pPr>
            <w:r>
              <w:rPr>
                <w:rFonts w:ascii="Arial" w:hAnsi="Arial"/>
                <w:b/>
                <w:color w:val="FFFFFF"/>
                <w:sz w:val="17"/>
              </w:rPr>
              <w:t>Área</w:t>
            </w:r>
          </w:p>
        </w:tc>
        <w:tc>
          <w:tcPr>
            <w:tcW w:type="dxa" w:w="7488"/>
            <w:shd w:fill="1F6F5F"/>
            <w:vAlign w:val="center"/>
            <w:tcMar>
              <w:top w:w="70" w:type="dxa"/>
              <w:start w:w="70" w:type="dxa"/>
              <w:bottom w:w="70" w:type="dxa"/>
              <w:end w:w="70" w:type="dxa"/>
            </w:tcMar>
          </w:tcPr>
          <w:p>
            <w:pPr>
              <w:jc w:val="center"/>
            </w:pPr>
            <w:r>
              <w:rPr>
                <w:rFonts w:ascii="Arial" w:hAnsi="Arial"/>
                <w:b/>
                <w:color w:val="FFFFFF"/>
                <w:sz w:val="17"/>
              </w:rPr>
              <w:t>Estado</w:t>
            </w:r>
          </w:p>
        </w:tc>
      </w:tr>
      <w:tr>
        <w:tc>
          <w:tcPr>
            <w:tcW w:type="dxa" w:w="3384"/>
            <w:vAlign w:val="top"/>
            <w:tcMar>
              <w:top w:w="60" w:type="dxa"/>
              <w:start w:w="60" w:type="dxa"/>
              <w:bottom w:w="60" w:type="dxa"/>
              <w:end w:w="60" w:type="dxa"/>
            </w:tcMar>
          </w:tcPr>
          <w:p>
            <w:r>
              <w:rPr>
                <w:rFonts w:ascii="Arial" w:hAnsi="Arial"/>
                <w:sz w:val="17"/>
              </w:rPr>
              <w:t>Responsive / diseño móvil</w:t>
            </w:r>
          </w:p>
        </w:tc>
        <w:tc>
          <w:tcPr>
            <w:tcW w:type="dxa" w:w="7488"/>
            <w:vAlign w:val="top"/>
            <w:tcMar>
              <w:top w:w="60" w:type="dxa"/>
              <w:start w:w="60" w:type="dxa"/>
              <w:bottom w:w="60" w:type="dxa"/>
              <w:end w:w="60" w:type="dxa"/>
            </w:tcMar>
          </w:tcPr>
          <w:p>
            <w:r>
              <w:rPr>
                <w:rFonts w:ascii="Arial" w:hAnsi="Arial"/>
                <w:sz w:val="17"/>
              </w:rPr>
              <w:t>Existen pruebas de navegador y capturas, pero la revisión completa posterior al último rediseño sigue abierta.</w:t>
            </w:r>
          </w:p>
        </w:tc>
      </w:tr>
      <w:tr>
        <w:tc>
          <w:tcPr>
            <w:tcW w:type="dxa" w:w="3384"/>
            <w:vAlign w:val="top"/>
            <w:tcMar>
              <w:top w:w="60" w:type="dxa"/>
              <w:start w:w="60" w:type="dxa"/>
              <w:bottom w:w="60" w:type="dxa"/>
              <w:end w:w="60" w:type="dxa"/>
            </w:tcMar>
          </w:tcPr>
          <w:p>
            <w:r>
              <w:rPr>
                <w:rFonts w:ascii="Arial" w:hAnsi="Arial"/>
                <w:sz w:val="17"/>
              </w:rPr>
              <w:t>PWA / offline</w:t>
            </w:r>
          </w:p>
        </w:tc>
        <w:tc>
          <w:tcPr>
            <w:tcW w:type="dxa" w:w="7488"/>
            <w:vAlign w:val="top"/>
            <w:tcMar>
              <w:top w:w="60" w:type="dxa"/>
              <w:start w:w="60" w:type="dxa"/>
              <w:bottom w:w="60" w:type="dxa"/>
              <w:end w:w="60" w:type="dxa"/>
            </w:tcMar>
          </w:tcPr>
          <w:p>
            <w:r>
              <w:rPr>
                <w:rFonts w:ascii="Arial" w:hAnsi="Arial"/>
                <w:sz w:val="17"/>
              </w:rPr>
              <w:t>Service worker y cola local están implementados; falta prueba física en iPhone/Android.</w:t>
            </w:r>
          </w:p>
        </w:tc>
      </w:tr>
      <w:tr>
        <w:tc>
          <w:tcPr>
            <w:tcW w:type="dxa" w:w="3384"/>
            <w:vAlign w:val="top"/>
            <w:tcMar>
              <w:top w:w="60" w:type="dxa"/>
              <w:start w:w="60" w:type="dxa"/>
              <w:bottom w:w="60" w:type="dxa"/>
              <w:end w:w="60" w:type="dxa"/>
            </w:tcMar>
          </w:tcPr>
          <w:p>
            <w:r>
              <w:rPr>
                <w:rFonts w:ascii="Arial" w:hAnsi="Arial"/>
                <w:sz w:val="17"/>
              </w:rPr>
              <w:t>PostgreSQL de producción</w:t>
            </w:r>
          </w:p>
        </w:tc>
        <w:tc>
          <w:tcPr>
            <w:tcW w:type="dxa" w:w="7488"/>
            <w:vAlign w:val="top"/>
            <w:tcMar>
              <w:top w:w="60" w:type="dxa"/>
              <w:start w:w="60" w:type="dxa"/>
              <w:bottom w:w="60" w:type="dxa"/>
              <w:end w:w="60" w:type="dxa"/>
            </w:tcMar>
          </w:tcPr>
          <w:p>
            <w:r>
              <w:rPr>
                <w:rFonts w:ascii="Arial" w:hAnsi="Arial"/>
                <w:sz w:val="17"/>
              </w:rPr>
              <w:t>Es obligatorio y está documentado; falta validar concurrencia e idempotencia bajo un ambiente PostgreSQL de prueba separado.</w:t>
            </w:r>
          </w:p>
        </w:tc>
      </w:tr>
      <w:tr>
        <w:tc>
          <w:tcPr>
            <w:tcW w:type="dxa" w:w="3384"/>
            <w:vAlign w:val="top"/>
            <w:tcMar>
              <w:top w:w="60" w:type="dxa"/>
              <w:start w:w="60" w:type="dxa"/>
              <w:bottom w:w="60" w:type="dxa"/>
              <w:end w:w="60" w:type="dxa"/>
            </w:tcMar>
          </w:tcPr>
          <w:p>
            <w:r>
              <w:rPr>
                <w:rFonts w:ascii="Arial" w:hAnsi="Arial"/>
                <w:sz w:val="17"/>
              </w:rPr>
              <w:t>Cierre de caja concurrente</w:t>
            </w:r>
          </w:p>
        </w:tc>
        <w:tc>
          <w:tcPr>
            <w:tcW w:type="dxa" w:w="7488"/>
            <w:vAlign w:val="top"/>
            <w:tcMar>
              <w:top w:w="60" w:type="dxa"/>
              <w:start w:w="60" w:type="dxa"/>
              <w:bottom w:w="60" w:type="dxa"/>
              <w:end w:w="60" w:type="dxa"/>
            </w:tcMar>
          </w:tcPr>
          <w:p>
            <w:r>
              <w:rPr>
                <w:rFonts w:ascii="Arial" w:hAnsi="Arial"/>
                <w:sz w:val="17"/>
              </w:rPr>
              <w:t>La UI reconsulta el esperado, pero la atomicidad ante ventas simultáneas no está demostrada.</w:t>
            </w:r>
          </w:p>
        </w:tc>
      </w:tr>
      <w:tr>
        <w:tc>
          <w:tcPr>
            <w:tcW w:type="dxa" w:w="3384"/>
            <w:vAlign w:val="top"/>
            <w:tcMar>
              <w:top w:w="60" w:type="dxa"/>
              <w:start w:w="60" w:type="dxa"/>
              <w:bottom w:w="60" w:type="dxa"/>
              <w:end w:w="60" w:type="dxa"/>
            </w:tcMar>
          </w:tcPr>
          <w:p>
            <w:r>
              <w:rPr>
                <w:rFonts w:ascii="Arial" w:hAnsi="Arial"/>
                <w:sz w:val="17"/>
              </w:rPr>
              <w:t>Proveedores externos</w:t>
            </w:r>
          </w:p>
        </w:tc>
        <w:tc>
          <w:tcPr>
            <w:tcW w:type="dxa" w:w="7488"/>
            <w:vAlign w:val="top"/>
            <w:tcMar>
              <w:top w:w="60" w:type="dxa"/>
              <w:start w:w="60" w:type="dxa"/>
              <w:bottom w:w="60" w:type="dxa"/>
              <w:end w:w="60" w:type="dxa"/>
            </w:tcMar>
          </w:tcPr>
          <w:p>
            <w:r>
              <w:rPr>
                <w:rFonts w:ascii="Arial" w:hAnsi="Arial"/>
                <w:sz w:val="17"/>
              </w:rPr>
              <w:t>Se controlan errores y cuotas, pero la disponibilidad real depende de terceros.</w:t>
            </w:r>
          </w:p>
        </w:tc>
      </w:tr>
    </w:tbl>
    <w:p>
      <w:pPr>
        <w:pStyle w:val="Heading1"/>
      </w:pPr>
      <w:r>
        <w:t>3. No validar por inferencia</w:t>
      </w:r>
    </w:p>
    <w:p>
      <w:pPr>
        <w:pStyle w:val="ListBullet"/>
      </w:pPr>
      <w:r>
        <w:t>No declarar compatibilidad física por haber probado viewports en Chromium.</w:t>
      </w:r>
    </w:p>
    <w:p>
      <w:pPr>
        <w:pStyle w:val="ListBullet"/>
      </w:pPr>
      <w:r>
        <w:t>No declarar rendimiento de producción sin benchmark representativo.</w:t>
      </w:r>
    </w:p>
    <w:p>
      <w:pPr>
        <w:pStyle w:val="ListBullet"/>
      </w:pPr>
      <w:r>
        <w:t>No declarar precisión de IA sin una muestra definida y resultados registrados.</w:t>
      </w:r>
    </w:p>
    <w:p>
      <w:pPr>
        <w:pStyle w:val="ListBullet"/>
      </w:pPr>
      <w:r>
        <w:t>No declarar pagos reales ni conciliación automática; los flujos de tesis son externos o simulados.</w:t>
      </w:r>
    </w:p>
    <w:p>
      <w:pPr>
        <w:pStyle w:val="ListBullet"/>
      </w:pPr>
      <w:r>
        <w:t>No declarar cierre de seguridad mientras existan credenciales históricas que deban rotarse.</w:t>
      </w:r>
    </w:p>
    <w:p>
      <w:pPr>
        <w:pStyle w:val="Heading1"/>
      </w:pPr>
      <w:r>
        <w:t>4. Checklist antes de defensa</w:t>
      </w:r>
    </w:p>
    <w:tbl>
      <w:tblPr>
        <w:tblStyle w:val="TableGrid"/>
        <w:tblW w:type="auto" w:w="0"/>
        <w:jc w:val="center"/>
        <w:tblLook w:firstColumn="1" w:firstRow="1" w:lastColumn="0" w:lastRow="0" w:noHBand="0" w:noVBand="1" w:val="04A0"/>
      </w:tblPr>
      <w:tblGrid>
        <w:gridCol w:w="5083"/>
        <w:gridCol w:w="5083"/>
      </w:tblGrid>
      <w:tr>
        <w:tc>
          <w:tcPr>
            <w:tcW w:type="dxa" w:w="5184"/>
            <w:shd w:fill="1F6F5F"/>
            <w:vAlign w:val="center"/>
            <w:tcMar>
              <w:top w:w="70" w:type="dxa"/>
              <w:start w:w="70" w:type="dxa"/>
              <w:bottom w:w="70" w:type="dxa"/>
              <w:end w:w="70" w:type="dxa"/>
            </w:tcMar>
          </w:tcPr>
          <w:p>
            <w:pPr>
              <w:jc w:val="center"/>
            </w:pPr>
            <w:r>
              <w:rPr>
                <w:rFonts w:ascii="Arial" w:hAnsi="Arial"/>
                <w:b/>
                <w:color w:val="FFFFFF"/>
                <w:sz w:val="17"/>
              </w:rPr>
              <w:t>Control</w:t>
            </w:r>
          </w:p>
        </w:tc>
        <w:tc>
          <w:tcPr>
            <w:tcW w:type="dxa" w:w="5616"/>
            <w:shd w:fill="1F6F5F"/>
            <w:vAlign w:val="center"/>
            <w:tcMar>
              <w:top w:w="70" w:type="dxa"/>
              <w:start w:w="70" w:type="dxa"/>
              <w:bottom w:w="70" w:type="dxa"/>
              <w:end w:w="70" w:type="dxa"/>
            </w:tcMar>
          </w:tcPr>
          <w:p>
            <w:pPr>
              <w:jc w:val="center"/>
            </w:pPr>
            <w:r>
              <w:rPr>
                <w:rFonts w:ascii="Arial" w:hAnsi="Arial"/>
                <w:b/>
                <w:color w:val="FFFFFF"/>
                <w:sz w:val="17"/>
              </w:rPr>
              <w:t>Estado esperado</w:t>
            </w:r>
          </w:p>
        </w:tc>
      </w:tr>
      <w:tr>
        <w:tc>
          <w:tcPr>
            <w:tcW w:type="dxa" w:w="5184"/>
            <w:vAlign w:val="top"/>
            <w:tcMar>
              <w:top w:w="60" w:type="dxa"/>
              <w:start w:w="60" w:type="dxa"/>
              <w:bottom w:w="60" w:type="dxa"/>
              <w:end w:w="60" w:type="dxa"/>
            </w:tcMar>
          </w:tcPr>
          <w:p>
            <w:r>
              <w:rPr>
                <w:rFonts w:ascii="Arial" w:hAnsi="Arial"/>
                <w:sz w:val="17"/>
              </w:rPr>
              <w:t>Regresión visual post-rediseño</w:t>
            </w:r>
          </w:p>
        </w:tc>
        <w:tc>
          <w:tcPr>
            <w:tcW w:type="dxa" w:w="5616"/>
            <w:vAlign w:val="top"/>
            <w:tcMar>
              <w:top w:w="60" w:type="dxa"/>
              <w:start w:w="60" w:type="dxa"/>
              <w:bottom w:w="60" w:type="dxa"/>
              <w:end w:w="60" w:type="dxa"/>
            </w:tcMar>
          </w:tcPr>
          <w:p>
            <w:r>
              <w:rPr>
                <w:rFonts w:ascii="Arial" w:hAnsi="Arial"/>
                <w:sz w:val="17"/>
              </w:rPr>
              <w:t>Cerrada con evidencia.</w:t>
            </w:r>
          </w:p>
        </w:tc>
      </w:tr>
      <w:tr>
        <w:tc>
          <w:tcPr>
            <w:tcW w:type="dxa" w:w="5184"/>
            <w:vAlign w:val="top"/>
            <w:tcMar>
              <w:top w:w="60" w:type="dxa"/>
              <w:start w:w="60" w:type="dxa"/>
              <w:bottom w:w="60" w:type="dxa"/>
              <w:end w:w="60" w:type="dxa"/>
            </w:tcMar>
          </w:tcPr>
          <w:p>
            <w:r>
              <w:rPr>
                <w:rFonts w:ascii="Arial" w:hAnsi="Arial"/>
                <w:sz w:val="17"/>
              </w:rPr>
              <w:t>PWA en iPhone/Android</w:t>
            </w:r>
          </w:p>
        </w:tc>
        <w:tc>
          <w:tcPr>
            <w:tcW w:type="dxa" w:w="5616"/>
            <w:vAlign w:val="top"/>
            <w:tcMar>
              <w:top w:w="60" w:type="dxa"/>
              <w:start w:w="60" w:type="dxa"/>
              <w:bottom w:w="60" w:type="dxa"/>
              <w:end w:w="60" w:type="dxa"/>
            </w:tcMar>
          </w:tcPr>
          <w:p>
            <w:r>
              <w:rPr>
                <w:rFonts w:ascii="Arial" w:hAnsi="Arial"/>
                <w:sz w:val="17"/>
              </w:rPr>
              <w:t>Prueba física registrada o limitación declarada.</w:t>
            </w:r>
          </w:p>
        </w:tc>
      </w:tr>
      <w:tr>
        <w:tc>
          <w:tcPr>
            <w:tcW w:type="dxa" w:w="5184"/>
            <w:vAlign w:val="top"/>
            <w:tcMar>
              <w:top w:w="60" w:type="dxa"/>
              <w:start w:w="60" w:type="dxa"/>
              <w:bottom w:w="60" w:type="dxa"/>
              <w:end w:w="60" w:type="dxa"/>
            </w:tcMar>
          </w:tcPr>
          <w:p>
            <w:r>
              <w:rPr>
                <w:rFonts w:ascii="Arial" w:hAnsi="Arial"/>
                <w:sz w:val="17"/>
              </w:rPr>
              <w:t>PostgreSQL concurrencia/idempotencia</w:t>
            </w:r>
          </w:p>
        </w:tc>
        <w:tc>
          <w:tcPr>
            <w:tcW w:type="dxa" w:w="5616"/>
            <w:vAlign w:val="top"/>
            <w:tcMar>
              <w:top w:w="60" w:type="dxa"/>
              <w:start w:w="60" w:type="dxa"/>
              <w:bottom w:w="60" w:type="dxa"/>
              <w:end w:w="60" w:type="dxa"/>
            </w:tcMar>
          </w:tcPr>
          <w:p>
            <w:r>
              <w:rPr>
                <w:rFonts w:ascii="Arial" w:hAnsi="Arial"/>
                <w:sz w:val="17"/>
              </w:rPr>
              <w:t>Casos críticos ejecutados.</w:t>
            </w:r>
          </w:p>
        </w:tc>
      </w:tr>
      <w:tr>
        <w:tc>
          <w:tcPr>
            <w:tcW w:type="dxa" w:w="5184"/>
            <w:vAlign w:val="top"/>
            <w:tcMar>
              <w:top w:w="60" w:type="dxa"/>
              <w:start w:w="60" w:type="dxa"/>
              <w:bottom w:w="60" w:type="dxa"/>
              <w:end w:w="60" w:type="dxa"/>
            </w:tcMar>
          </w:tcPr>
          <w:p>
            <w:r>
              <w:rPr>
                <w:rFonts w:ascii="Arial" w:hAnsi="Arial"/>
                <w:sz w:val="17"/>
              </w:rPr>
              <w:t>Cierre de caja concurrente</w:t>
            </w:r>
          </w:p>
        </w:tc>
        <w:tc>
          <w:tcPr>
            <w:tcW w:type="dxa" w:w="5616"/>
            <w:vAlign w:val="top"/>
            <w:tcMar>
              <w:top w:w="60" w:type="dxa"/>
              <w:start w:w="60" w:type="dxa"/>
              <w:bottom w:w="60" w:type="dxa"/>
              <w:end w:w="60" w:type="dxa"/>
            </w:tcMar>
          </w:tcPr>
          <w:p>
            <w:r>
              <w:rPr>
                <w:rFonts w:ascii="Arial" w:hAnsi="Arial"/>
                <w:sz w:val="17"/>
              </w:rPr>
              <w:t>Resultado documentado.</w:t>
            </w:r>
          </w:p>
        </w:tc>
      </w:tr>
      <w:tr>
        <w:tc>
          <w:tcPr>
            <w:tcW w:type="dxa" w:w="5184"/>
            <w:vAlign w:val="top"/>
            <w:tcMar>
              <w:top w:w="60" w:type="dxa"/>
              <w:start w:w="60" w:type="dxa"/>
              <w:bottom w:w="60" w:type="dxa"/>
              <w:end w:w="60" w:type="dxa"/>
            </w:tcMar>
          </w:tcPr>
          <w:p>
            <w:r>
              <w:rPr>
                <w:rFonts w:ascii="Arial" w:hAnsi="Arial"/>
                <w:sz w:val="17"/>
              </w:rPr>
              <w:t>Credenciales y secretos</w:t>
            </w:r>
          </w:p>
        </w:tc>
        <w:tc>
          <w:tcPr>
            <w:tcW w:type="dxa" w:w="5616"/>
            <w:vAlign w:val="top"/>
            <w:tcMar>
              <w:top w:w="60" w:type="dxa"/>
              <w:start w:w="60" w:type="dxa"/>
              <w:bottom w:w="60" w:type="dxa"/>
              <w:end w:w="60" w:type="dxa"/>
            </w:tcMar>
          </w:tcPr>
          <w:p>
            <w:r>
              <w:rPr>
                <w:rFonts w:ascii="Arial" w:hAnsi="Arial"/>
                <w:sz w:val="17"/>
              </w:rPr>
              <w:t>Rotados/revisados.</w:t>
            </w:r>
          </w:p>
        </w:tc>
      </w:tr>
      <w:tr>
        <w:tc>
          <w:tcPr>
            <w:tcW w:type="dxa" w:w="5184"/>
            <w:vAlign w:val="top"/>
            <w:tcMar>
              <w:top w:w="60" w:type="dxa"/>
              <w:start w:w="60" w:type="dxa"/>
              <w:bottom w:w="60" w:type="dxa"/>
              <w:end w:w="60" w:type="dxa"/>
            </w:tcMar>
          </w:tcPr>
          <w:p>
            <w:r>
              <w:rPr>
                <w:rFonts w:ascii="Arial" w:hAnsi="Arial"/>
                <w:sz w:val="17"/>
              </w:rPr>
              <w:t>Documentos de arquitectura</w:t>
            </w:r>
          </w:p>
        </w:tc>
        <w:tc>
          <w:tcPr>
            <w:tcW w:type="dxa" w:w="5616"/>
            <w:vAlign w:val="top"/>
            <w:tcMar>
              <w:top w:w="60" w:type="dxa"/>
              <w:start w:w="60" w:type="dxa"/>
              <w:bottom w:w="60" w:type="dxa"/>
              <w:end w:w="60" w:type="dxa"/>
            </w:tcMar>
          </w:tcPr>
          <w:p>
            <w:r>
              <w:rPr>
                <w:rFonts w:ascii="Arial" w:hAnsi="Arial"/>
                <w:sz w:val="17"/>
              </w:rPr>
              <w:t>Actualizados contra el mismo corte de código.</w:t>
            </w:r>
          </w:p>
        </w:tc>
      </w:tr>
    </w:tbl>
    <w:p>
      <w:pPr>
        <w:pStyle w:val="Heading1"/>
      </w:pPr>
      <w:r>
        <w:t>5. Conclusión</w:t>
      </w:r>
    </w:p>
    <w:p>
      <w:r>
        <w:t>La arquitectura es suficiente para sostener el alcance actual de la tesis, pero su validación final depende de cerrar los escenarios pendientes del Sprint 8. La presentación académica debe mantener esta distinción con precisión.</w:t>
      </w:r>
    </w:p>
    <w:p>
      <w:pPr>
        <w:pStyle w:val="Heading1"/>
      </w:pPr>
      <w:r>
        <w:t>Fuentes base utilizadas</w:t>
      </w:r>
    </w:p>
    <w:p>
      <w:pPr>
        <w:pStyle w:val="ListBullet"/>
      </w:pPr>
      <w:r>
        <w:t>Repositorio LocalitoSaaS: README.md, docs/Estado-Actual.md, docs/Alcance-Tesis.md, docs/Backlog-Scrum-Jira.md y Documento-Proyecto-Localito.md.</w:t>
      </w:r>
    </w:p>
    <w:p>
      <w:pPr>
        <w:pStyle w:val="ListBullet"/>
      </w:pPr>
      <w:r>
        <w:t>Repositorio LocalitoSaaS: package.json, apps/web/package.json, apps/api/package.json, db/schema.sql y estructura de apps/api/src.</w:t>
      </w:r>
    </w:p>
    <w:p>
      <w:pPr>
        <w:pStyle w:val="ListBullet"/>
      </w:pPr>
      <w:r>
        <w:t>Material académico revisado en Drive: DAS (Documento de Arquitectura de Sistema), Validación ATAM y Validación SAAM desarrollados durante la carrera.</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 xml:space="preserve">Ingeniería en Informática · Capstone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LOCALITO · ARQUITECTURA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6F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6F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