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3D56"/>
          <w:sz w:val="60"/>
        </w:rPr>
        <w:t>LOCALITO</w:t>
      </w:r>
    </w:p>
    <w:p>
      <w:pPr>
        <w:jc w:val="center"/>
      </w:pPr>
      <w:r>
        <w:rPr>
          <w:b/>
          <w:color w:val="1F2937"/>
          <w:sz w:val="36"/>
        </w:rPr>
        <w:t>02 · Arquitectura y gobernanza de datos</w:t>
      </w:r>
    </w:p>
    <w:p/>
    <w:p>
      <w:pPr>
        <w:jc w:val="center"/>
      </w:pPr>
      <w:r>
        <w:rPr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8899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oadmap_Datos_Locali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89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i/>
          <w:color w:val="475569"/>
          <w:sz w:val="16"/>
        </w:rPr>
        <w:t>Figura 1. Roadmap de madurez de datos para Localito.</w:t>
      </w:r>
    </w:p>
    <w:p>
      <w:pPr>
        <w:pStyle w:val="Heading1"/>
      </w:pPr>
      <w:r>
        <w:t>1. Etapas</w:t>
      </w:r>
    </w:p>
    <w:p>
      <w:pPr>
        <w:pStyle w:val="ListBullet"/>
      </w:pPr>
      <w:r>
        <w:t>OLTP confiable: integridad, concurrencia, backup/restore, observabilidad y consultas eficientes.</w:t>
      </w:r>
    </w:p>
    <w:p>
      <w:pPr>
        <w:pStyle w:val="ListBullet"/>
      </w:pPr>
      <w:r>
        <w:t>BI: Data Mart separado, ETL/ELT reproducible, KPIs reconciliados y Power BI.</w:t>
      </w:r>
    </w:p>
    <w:p>
      <w:pPr>
        <w:pStyle w:val="ListBullet"/>
      </w:pPr>
      <w:r>
        <w:t>Analítica avanzada: datasets versionados y experimentos cuando existan datos suficientes.</w:t>
      </w:r>
    </w:p>
    <w:p>
      <w:pPr>
        <w:pStyle w:val="ListBullet"/>
      </w:pPr>
      <w:r>
        <w:t>Big Data: solo si benchmarks muestran que volumen/velocidad/variedad requieren otra arquitectura.</w:t>
      </w:r>
    </w:p>
    <w:p>
      <w:pPr>
        <w:pStyle w:val="Heading1"/>
      </w:pPr>
      <w:r>
        <w:t>2. Gobernanza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Área</w:t>
            </w:r>
          </w:p>
        </w:tc>
        <w:tc>
          <w:tcPr>
            <w:tcW w:type="dxa" w:w="8352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Control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Privacidad</w:t>
            </w:r>
          </w:p>
        </w:tc>
        <w:tc>
          <w:tcPr>
            <w:tcW w:type="dxa" w:w="83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Minimizar PII y separar tenants; agregados cross-tenant solo con propósito y permisos.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Calidad</w:t>
            </w:r>
          </w:p>
        </w:tc>
        <w:tc>
          <w:tcPr>
            <w:tcW w:type="dxa" w:w="83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Diccionario, reglas de completitud/consistencia y reconciliación con OLTP.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Linaje</w:t>
            </w:r>
          </w:p>
        </w:tc>
        <w:tc>
          <w:tcPr>
            <w:tcW w:type="dxa" w:w="83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Documentar origen, transformación y destino.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Retención</w:t>
            </w:r>
          </w:p>
        </w:tc>
        <w:tc>
          <w:tcPr>
            <w:tcW w:type="dxa" w:w="83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No guardar datos indefinidamente sin propósito.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Acceso</w:t>
            </w:r>
          </w:p>
        </w:tc>
        <w:tc>
          <w:tcPr>
            <w:tcW w:type="dxa" w:w="83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Mínimo privilegio y secretos server-side.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Costo</w:t>
            </w:r>
          </w:p>
        </w:tc>
        <w:tc>
          <w:tcPr>
            <w:tcW w:type="dxa" w:w="83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Medir costo por almacenamiento, consulta y cliente antes de escalar.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LOCALITO · BIG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  <w:jc w:val="both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