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6F5F"/>
          <w:sz w:val="64"/>
        </w:rPr>
        <w:t>LOCALITO</w:t>
      </w:r>
    </w:p>
    <w:p>
      <w:pPr>
        <w:jc w:val="center"/>
      </w:pPr>
      <w:r>
        <w:rPr>
          <w:rFonts w:ascii="Arial" w:hAnsi="Arial"/>
          <w:b/>
          <w:color w:val="1F2937"/>
          <w:sz w:val="36"/>
        </w:rPr>
        <w:t>Gestión de Hallazgos de Calidad</w:t>
      </w:r>
    </w:p>
    <w:p>
      <w:pPr>
        <w:jc w:val="center"/>
      </w:pPr>
      <w:r>
        <w:rPr>
          <w:rFonts w:ascii="Arial" w:hAnsi="Arial"/>
          <w:color w:val="475569"/>
          <w:sz w:val="22"/>
        </w:rPr>
        <w:t>Defectos, riesgos y pendientes</w:t>
      </w:r>
    </w:p>
    <w:p/>
    <w:p>
      <w:pPr>
        <w:jc w:val="center"/>
      </w:pPr>
      <w:r>
        <w:rPr>
          <w:rFonts w:ascii="Arial" w:hAnsi="Arial"/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8F3F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Arial" w:hAnsi="Arial"/>
                <w:sz w:val="19"/>
              </w:rPr>
              <w:t>No todos los hallazgos son bugs. En este registro se distinguen defectos, riesgos, pendientes de QA y límites aceptados de alcance.</w:t>
            </w:r>
          </w:p>
        </w:tc>
      </w:tr>
    </w:tbl>
    <w:p>
      <w:pPr>
        <w:pStyle w:val="Heading1"/>
      </w:pPr>
      <w:r>
        <w:t>1. Tipos de hallazgo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592"/>
            <w:shd w:fill="1F6F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8064"/>
            <w:shd w:fill="1F6F5F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Descripción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7"/>
              </w:rPr>
              <w:t>Defecto / bug</w:t>
            </w:r>
          </w:p>
        </w:tc>
        <w:tc>
          <w:tcPr>
            <w:tcW w:type="dxa" w:w="8064"/>
          </w:tcPr>
          <w:p>
            <w:r>
              <w:rPr>
                <w:rFonts w:ascii="Arial" w:hAnsi="Arial"/>
                <w:sz w:val="17"/>
              </w:rPr>
              <w:t>Comportamiento incorrecto que requiere corrección.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7"/>
              </w:rPr>
              <w:t>Pendiente QA</w:t>
            </w:r>
          </w:p>
        </w:tc>
        <w:tc>
          <w:tcPr>
            <w:tcW w:type="dxa" w:w="8064"/>
          </w:tcPr>
          <w:p>
            <w:r>
              <w:rPr>
                <w:rFonts w:ascii="Arial" w:hAnsi="Arial"/>
                <w:sz w:val="17"/>
              </w:rPr>
              <w:t>Validación o evidencia aún no cerrada.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7"/>
              </w:rPr>
              <w:t>Pendiente técnica</w:t>
            </w:r>
          </w:p>
        </w:tc>
        <w:tc>
          <w:tcPr>
            <w:tcW w:type="dxa" w:w="8064"/>
          </w:tcPr>
          <w:p>
            <w:r>
              <w:rPr>
                <w:rFonts w:ascii="Arial" w:hAnsi="Arial"/>
                <w:sz w:val="17"/>
              </w:rPr>
              <w:t>Escenario de robustez o integridad sin prueba suficiente.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7"/>
              </w:rPr>
              <w:t>Riesgo</w:t>
            </w:r>
          </w:p>
        </w:tc>
        <w:tc>
          <w:tcPr>
            <w:tcW w:type="dxa" w:w="8064"/>
          </w:tcPr>
          <w:p>
            <w:r>
              <w:rPr>
                <w:rFonts w:ascii="Arial" w:hAnsi="Arial"/>
                <w:sz w:val="17"/>
              </w:rPr>
              <w:t>Situación que puede degradar la calidad aunque no sea un error activo.</w:t>
            </w:r>
          </w:p>
        </w:tc>
      </w:tr>
      <w:tr>
        <w:tc>
          <w:tcPr>
            <w:tcW w:type="dxa" w:w="2592"/>
          </w:tcPr>
          <w:p>
            <w:r>
              <w:rPr>
                <w:rFonts w:ascii="Arial" w:hAnsi="Arial"/>
                <w:sz w:val="17"/>
              </w:rPr>
              <w:t>Límite funcional</w:t>
            </w:r>
          </w:p>
        </w:tc>
        <w:tc>
          <w:tcPr>
            <w:tcW w:type="dxa" w:w="8064"/>
          </w:tcPr>
          <w:p>
            <w:r>
              <w:rPr>
                <w:rFonts w:ascii="Arial" w:hAnsi="Arial"/>
                <w:sz w:val="17"/>
              </w:rPr>
              <w:t>Capacidad fuera de alcance que debe quedar explícita.</w:t>
            </w:r>
          </w:p>
        </w:tc>
      </w:tr>
    </w:tbl>
    <w:p>
      <w:pPr>
        <w:pStyle w:val="Heading1"/>
      </w:pPr>
      <w:r>
        <w:t>2. Priorización sugerida</w:t>
      </w:r>
    </w:p>
    <w:p>
      <w:pPr>
        <w:pStyle w:val="ListBullet"/>
      </w:pPr>
      <w:r>
        <w:t>Crítica: compromete seguridad, integridad o el núcleo transaccional.</w:t>
      </w:r>
    </w:p>
    <w:p>
      <w:pPr>
        <w:pStyle w:val="ListBullet"/>
      </w:pPr>
      <w:r>
        <w:t>Alta: afecta seriamente la experiencia, la defensa o un flujo importante.</w:t>
      </w:r>
    </w:p>
    <w:p>
      <w:pPr>
        <w:pStyle w:val="ListBullet"/>
      </w:pPr>
      <w:r>
        <w:t>Media: reduce calidad o claridad, pero no bloquea el valor central.</w:t>
      </w:r>
    </w:p>
    <w:p>
      <w:pPr>
        <w:pStyle w:val="ListBullet"/>
      </w:pPr>
      <w:r>
        <w:t>Baja: puede diferirse sin afectar la demo final.</w:t>
      </w:r>
    </w:p>
    <w:p>
      <w:pPr>
        <w:pStyle w:val="Heading1"/>
      </w:pPr>
      <w:r>
        <w:t>Fuentes base utilizadas</w:t>
      </w:r>
    </w:p>
    <w:p>
      <w:pPr>
        <w:pStyle w:val="ListBullet"/>
      </w:pPr>
      <w:r>
        <w:t>Repositorio LocalitoSaaS: backlog, estado actual, alcance de tesis, documentación operativa y arquitectura.</w:t>
      </w:r>
    </w:p>
    <w:p>
      <w:pPr>
        <w:pStyle w:val="ListBullet"/>
      </w:pPr>
      <w:r>
        <w:t>Paquetes documentales previos: Gestión Ágil / Scrum, BPM y Arquitectura de Software.</w:t>
      </w:r>
    </w:p>
    <w:p>
      <w:pPr>
        <w:pStyle w:val="ListBullet"/>
      </w:pPr>
      <w:r>
        <w:t>Enfoque de calidad alineado con Scrum: criterios de aceptación, trazabilidad, DoD y evidencia incremental.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LOCALITO · CALIDAD DE SOFTWARE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6F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6F5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