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3D56"/>
          <w:sz w:val="60"/>
        </w:rPr>
        <w:t>LOCALITO</w:t>
      </w:r>
    </w:p>
    <w:p>
      <w:pPr>
        <w:jc w:val="center"/>
      </w:pPr>
      <w:r>
        <w:rPr>
          <w:b/>
          <w:color w:val="1F2937"/>
          <w:sz w:val="36"/>
        </w:rPr>
        <w:t>02 · Ética de datos, IA y seguridad</w:t>
      </w:r>
    </w:p>
    <w:p/>
    <w:p>
      <w:pPr>
        <w:jc w:val="center"/>
      </w:pPr>
      <w:r>
        <w:rPr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line="240" w:lineRule="auto"/>
            </w:pPr>
            <w:r>
              <w:rPr>
                <w:sz w:val="18"/>
              </w:rPr>
              <w:t>Localito ya incorpora decisiones compatibles con un enfoque responsable —por ejemplo, confirmación humana de IA— pero aún existen controles pendientes que deben cerrarse antes de una presentación o uso con datos reales.</w:t>
            </w:r>
          </w:p>
        </w:tc>
      </w:tr>
    </w:tbl>
    <w:p>
      <w:pPr>
        <w:pStyle w:val="Heading1"/>
      </w:pPr>
      <w:r>
        <w:t>1. Datos y privacidad</w:t>
      </w:r>
    </w:p>
    <w:p>
      <w:pPr>
        <w:pStyle w:val="ListBullet"/>
      </w:pPr>
      <w:r>
        <w:t>Usar datos sintéticos o explícitamente autorizados en pruebas y demostraciones.</w:t>
      </w:r>
    </w:p>
    <w:p>
      <w:pPr>
        <w:pStyle w:val="ListBullet"/>
      </w:pPr>
      <w:r>
        <w:t>Minimizar datos personales en capturas, respaldos y artefactos de tesis.</w:t>
      </w:r>
    </w:p>
    <w:p>
      <w:pPr>
        <w:pStyle w:val="ListBullet"/>
      </w:pPr>
      <w:r>
        <w:t>Separar negocios/tenants y aplicar autorización server-side; una interfaz que oculta botones no reemplaza control de acceso.</w:t>
      </w:r>
    </w:p>
    <w:p>
      <w:pPr>
        <w:pStyle w:val="ListBullet"/>
      </w:pPr>
      <w:r>
        <w:t>No versionar respaldos con información real ni publicar tokens de sesión.</w:t>
      </w:r>
    </w:p>
    <w:p>
      <w:pPr>
        <w:pStyle w:val="ListBullet"/>
      </w:pPr>
      <w:r>
        <w:t>Definir retención y propósito cuando se realicen pilotos con comerciantes.</w:t>
      </w:r>
    </w:p>
    <w:p>
      <w:pPr>
        <w:pStyle w:val="Heading1"/>
      </w:pPr>
      <w:r>
        <w:t>2. IA con control humano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032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Riesgo</w:t>
            </w:r>
          </w:p>
        </w:tc>
        <w:tc>
          <w:tcPr>
            <w:tcW w:type="dxa" w:w="720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Control esperado</w:t>
            </w:r>
          </w:p>
        </w:tc>
      </w:tr>
      <w:tr>
        <w:trPr>
          <w:cantSplit/>
        </w:trPr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Producto/cantidad incorrectos</w:t>
            </w:r>
          </w:p>
        </w:tc>
        <w:tc>
          <w:tcPr>
            <w:tcW w:type="dxa" w:w="72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La persona revisa sugerencias antes de afectar ticket o inventario.</w:t>
            </w:r>
          </w:p>
        </w:tc>
      </w:tr>
      <w:tr>
        <w:trPr>
          <w:cantSplit/>
        </w:trPr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Proveedor indisponible</w:t>
            </w:r>
          </w:p>
        </w:tc>
        <w:tc>
          <w:tcPr>
            <w:tcW w:type="dxa" w:w="72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Fallback manual; la venta base no debe quedar inutilizada.</w:t>
            </w:r>
          </w:p>
        </w:tc>
      </w:tr>
      <w:tr>
        <w:trPr>
          <w:cantSplit/>
        </w:trPr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Exposición de información</w:t>
            </w:r>
          </w:p>
        </w:tc>
        <w:tc>
          <w:tcPr>
            <w:tcW w:type="dxa" w:w="72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Enviar solo lo necesario y mantener API keys server-side.</w:t>
            </w:r>
          </w:p>
        </w:tc>
      </w:tr>
      <w:tr>
        <w:trPr>
          <w:cantSplit/>
        </w:trPr>
        <w:tc>
          <w:tcPr>
            <w:tcW w:type="dxa" w:w="403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Sesgo de confianza</w:t>
            </w:r>
          </w:p>
        </w:tc>
        <w:tc>
          <w:tcPr>
            <w:tcW w:type="dxa" w:w="72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Comunicar que la IA es asistencia y medir correcciones/errores en piloto.</w:t>
            </w:r>
          </w:p>
        </w:tc>
      </w:tr>
    </w:tbl>
    <w:p>
      <w:pPr>
        <w:pStyle w:val="Heading1"/>
      </w:pPr>
      <w:r>
        <w:t>3. Licencias y código</w:t>
      </w:r>
    </w:p>
    <w:p>
      <w:r>
        <w:t>El antecedente académico del ramo considera antiético normalizar código no autorizado. En Localito, cualquier dependencia, fragmento o activo incorporado debe tener origen y licencia compatibles. Ante duda, se revisa la licencia, se sustituye el componente o se implementa una alternativa propia.</w:t>
      </w:r>
    </w:p>
    <w:p>
      <w:pPr>
        <w:pStyle w:val="Heading1"/>
      </w:pPr>
      <w:r>
        <w:t>4. Transparencia de la tesis</w:t>
      </w:r>
    </w:p>
    <w:p>
      <w:pPr>
        <w:pStyle w:val="ListBullet"/>
      </w:pPr>
      <w:r>
        <w:t>Ticket: comprobante interno no tributario.</w:t>
      </w:r>
    </w:p>
    <w:p>
      <w:pPr>
        <w:pStyle w:val="ListBullet"/>
      </w:pPr>
      <w:r>
        <w:t>Webpay/Mercado Pago del alcance académico: simulación o confirmación externa; no procesan dinero real.</w:t>
      </w:r>
    </w:p>
    <w:p>
      <w:pPr>
        <w:pStyle w:val="ListBullet"/>
      </w:pPr>
      <w:r>
        <w:t>SII/DTE: fuera del alcance de tesis.</w:t>
      </w:r>
    </w:p>
    <w:p>
      <w:pPr>
        <w:pStyle w:val="ListBullet"/>
      </w:pPr>
      <w:r>
        <w:t>Pruebas automatizadas internas: no equivalen a validación con comerciantes.</w:t>
      </w:r>
    </w:p>
    <w:p>
      <w:pPr>
        <w:pStyle w:val="ListBullet"/>
      </w:pPr>
      <w:r>
        <w:t>Pruebas con viewport móvil: no equivalen a iPhone/Android físico.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LOCALITO · ÉTICA PROFESIONAL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  <w:jc w:val="both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