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D56"/>
          <w:sz w:val="60"/>
        </w:rPr>
        <w:t>LOCALITO</w:t>
      </w:r>
    </w:p>
    <w:p>
      <w:pPr>
        <w:jc w:val="center"/>
      </w:pPr>
      <w:r>
        <w:rPr>
          <w:b/>
          <w:color w:val="1F2937"/>
          <w:sz w:val="36"/>
        </w:rPr>
        <w:t>01 · Equipo, perfiles y competencias</w:t>
      </w:r>
    </w:p>
    <w:p/>
    <w:p>
      <w:pPr>
        <w:jc w:val="center"/>
      </w:pPr>
      <w:r>
        <w:rPr>
          <w:sz w:val="20"/>
        </w:rPr>
        <w:t>Equipo: Camilo González · Alexander Patiño · Samuel Solís</w:t>
        <w:br/>
        <w:t>Septiembre 2026</w:t>
      </w:r>
    </w:p>
    <w:p>
      <w:r>
        <w:br w:type="page"/>
      </w:r>
    </w:p>
    <w:p>
      <w:pPr>
        <w:jc w:val="center"/>
      </w:pPr>
      <w:r>
        <w:drawing>
          <wp:inline xmlns:a="http://schemas.openxmlformats.org/drawingml/2006/main" xmlns:pic="http://schemas.openxmlformats.org/drawingml/2006/picture">
            <wp:extent cx="4663440" cy="3908710"/>
            <wp:docPr id="1" name="Picture 1"/>
            <wp:cNvGraphicFramePr>
              <a:graphicFrameLocks noChangeAspect="1"/>
            </wp:cNvGraphicFramePr>
            <a:graphic>
              <a:graphicData uri="http://schemas.openxmlformats.org/drawingml/2006/picture">
                <pic:pic>
                  <pic:nvPicPr>
                    <pic:cNvPr id="0" name="01_Gestion_Personas_Scrum_Localito.png"/>
                    <pic:cNvPicPr/>
                  </pic:nvPicPr>
                  <pic:blipFill>
                    <a:blip r:embed="rId11"/>
                    <a:stretch>
                      <a:fillRect/>
                    </a:stretch>
                  </pic:blipFill>
                  <pic:spPr>
                    <a:xfrm>
                      <a:off x="0" y="0"/>
                      <a:ext cx="4663440" cy="3908710"/>
                    </a:xfrm>
                    <a:prstGeom prst="rect"/>
                  </pic:spPr>
                </pic:pic>
              </a:graphicData>
            </a:graphic>
          </wp:inline>
        </w:drawing>
      </w:r>
    </w:p>
    <w:p>
      <w:pPr>
        <w:spacing w:line="240" w:lineRule="auto"/>
        <w:jc w:val="center"/>
      </w:pPr>
      <w:r>
        <w:rPr>
          <w:i/>
          <w:color w:val="475569"/>
          <w:sz w:val="16"/>
        </w:rPr>
        <w:t>Figura 1. Ciclo de gestión de personas adaptado a Scrum.</w:t>
      </w:r>
    </w:p>
    <w:p>
      <w:pPr>
        <w:pStyle w:val="Heading1"/>
      </w:pPr>
      <w:r>
        <w:t>1. Estructura actual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2"/>
            <w:shd w:fill="0F3D56"/>
            <w:vAlign w:val="center"/>
            <w:tcMar>
              <w:top w:w="70" w:type="dxa"/>
              <w:start w:w="70" w:type="dxa"/>
              <w:bottom w:w="70" w:type="dxa"/>
              <w:end w:w="70" w:type="dxa"/>
            </w:tcMar>
          </w:tcPr>
          <w:p>
            <w:pPr>
              <w:spacing w:line="240" w:lineRule="auto"/>
              <w:jc w:val="center"/>
            </w:pPr>
            <w:r>
              <w:rPr>
                <w:b/>
                <w:color w:val="FFFFFF"/>
                <w:sz w:val="16"/>
              </w:rPr>
              <w:t>Persona / accountability</w:t>
            </w:r>
          </w:p>
        </w:tc>
        <w:tc>
          <w:tcPr>
            <w:tcW w:type="dxa" w:w="7200"/>
            <w:shd w:fill="0F3D56"/>
            <w:vAlign w:val="center"/>
            <w:tcMar>
              <w:top w:w="70" w:type="dxa"/>
              <w:start w:w="70" w:type="dxa"/>
              <w:bottom w:w="70" w:type="dxa"/>
              <w:end w:w="70" w:type="dxa"/>
            </w:tcMar>
          </w:tcPr>
          <w:p>
            <w:pPr>
              <w:spacing w:line="240" w:lineRule="auto"/>
              <w:jc w:val="center"/>
            </w:pPr>
            <w:r>
              <w:rPr>
                <w:b/>
                <w:color w:val="FFFFFF"/>
                <w:sz w:val="16"/>
              </w:rPr>
              <w:t>Foco</w:t>
            </w:r>
          </w:p>
        </w:tc>
      </w:tr>
      <w:tr>
        <w:trPr>
          <w:cantSplit/>
        </w:trPr>
        <w:tc>
          <w:tcPr>
            <w:tcW w:type="dxa" w:w="4032"/>
            <w:vAlign w:val="top"/>
            <w:tcMar>
              <w:top w:w="70" w:type="dxa"/>
              <w:start w:w="70" w:type="dxa"/>
              <w:bottom w:w="70" w:type="dxa"/>
              <w:end w:w="70" w:type="dxa"/>
            </w:tcMar>
          </w:tcPr>
          <w:p>
            <w:pPr>
              <w:spacing w:line="240" w:lineRule="auto"/>
            </w:pPr>
            <w:r>
              <w:rPr>
                <w:sz w:val="16"/>
              </w:rPr>
              <w:t>Alexander · Product Owner</w:t>
            </w:r>
          </w:p>
        </w:tc>
        <w:tc>
          <w:tcPr>
            <w:tcW w:type="dxa" w:w="7200"/>
            <w:vAlign w:val="top"/>
            <w:tcMar>
              <w:top w:w="70" w:type="dxa"/>
              <w:start w:w="70" w:type="dxa"/>
              <w:bottom w:w="70" w:type="dxa"/>
              <w:end w:w="70" w:type="dxa"/>
            </w:tcMar>
          </w:tcPr>
          <w:p>
            <w:pPr>
              <w:spacing w:line="240" w:lineRule="auto"/>
            </w:pPr>
            <w:r>
              <w:rPr>
                <w:sz w:val="16"/>
              </w:rPr>
              <w:t>Valor, prioridades, Product Backlog, stakeholders y criterios de aceptación.</w:t>
            </w:r>
          </w:p>
        </w:tc>
      </w:tr>
      <w:tr>
        <w:trPr>
          <w:cantSplit/>
        </w:trPr>
        <w:tc>
          <w:tcPr>
            <w:tcW w:type="dxa" w:w="4032"/>
            <w:vAlign w:val="top"/>
            <w:tcMar>
              <w:top w:w="70" w:type="dxa"/>
              <w:start w:w="70" w:type="dxa"/>
              <w:bottom w:w="70" w:type="dxa"/>
              <w:end w:w="70" w:type="dxa"/>
            </w:tcMar>
          </w:tcPr>
          <w:p>
            <w:pPr>
              <w:spacing w:line="240" w:lineRule="auto"/>
            </w:pPr>
            <w:r>
              <w:rPr>
                <w:sz w:val="16"/>
              </w:rPr>
              <w:t>Samuel · Scrum Master</w:t>
            </w:r>
          </w:p>
        </w:tc>
        <w:tc>
          <w:tcPr>
            <w:tcW w:type="dxa" w:w="7200"/>
            <w:vAlign w:val="top"/>
            <w:tcMar>
              <w:top w:w="70" w:type="dxa"/>
              <w:start w:w="70" w:type="dxa"/>
              <w:bottom w:w="70" w:type="dxa"/>
              <w:end w:w="70" w:type="dxa"/>
            </w:tcMar>
          </w:tcPr>
          <w:p>
            <w:pPr>
              <w:spacing w:line="240" w:lineRule="auto"/>
            </w:pPr>
            <w:r>
              <w:rPr>
                <w:sz w:val="16"/>
              </w:rPr>
              <w:t>Facilitación, impedimentos, mejora del proceso y protección del marco.</w:t>
            </w:r>
          </w:p>
        </w:tc>
      </w:tr>
      <w:tr>
        <w:trPr>
          <w:cantSplit/>
        </w:trPr>
        <w:tc>
          <w:tcPr>
            <w:tcW w:type="dxa" w:w="4032"/>
            <w:vAlign w:val="top"/>
            <w:tcMar>
              <w:top w:w="70" w:type="dxa"/>
              <w:start w:w="70" w:type="dxa"/>
              <w:bottom w:w="70" w:type="dxa"/>
              <w:end w:w="70" w:type="dxa"/>
            </w:tcMar>
          </w:tcPr>
          <w:p>
            <w:pPr>
              <w:spacing w:line="240" w:lineRule="auto"/>
            </w:pPr>
            <w:r>
              <w:rPr>
                <w:sz w:val="16"/>
              </w:rPr>
              <w:t>Camilo · Developer</w:t>
            </w:r>
          </w:p>
        </w:tc>
        <w:tc>
          <w:tcPr>
            <w:tcW w:type="dxa" w:w="7200"/>
            <w:vAlign w:val="top"/>
            <w:tcMar>
              <w:top w:w="70" w:type="dxa"/>
              <w:start w:w="70" w:type="dxa"/>
              <w:bottom w:w="70" w:type="dxa"/>
              <w:end w:w="70" w:type="dxa"/>
            </w:tcMar>
          </w:tcPr>
          <w:p>
            <w:pPr>
              <w:spacing w:line="240" w:lineRule="auto"/>
            </w:pPr>
            <w:r>
              <w:rPr>
                <w:sz w:val="16"/>
              </w:rPr>
              <w:t>Desarrollo e integración técnica, pruebas, arquitectura y documentación.</w:t>
            </w:r>
          </w:p>
        </w:tc>
      </w:tr>
    </w:tbl>
    <w:p>
      <w:pPr>
        <w:pStyle w:val="Heading1"/>
      </w:pPr>
      <w:r>
        <w:t>2. Competencias críticas</w:t>
      </w:r>
    </w:p>
    <w:p>
      <w:pPr>
        <w:pStyle w:val="ListBullet"/>
      </w:pPr>
      <w:r>
        <w:t>Gestión de Product Backlog y validación de mercado.</w:t>
      </w:r>
    </w:p>
    <w:p>
      <w:pPr>
        <w:pStyle w:val="ListBullet"/>
      </w:pPr>
      <w:r>
        <w:t>Facilitación Scrum y resolución de conflictos.</w:t>
      </w:r>
    </w:p>
    <w:p>
      <w:pPr>
        <w:pStyle w:val="ListBullet"/>
      </w:pPr>
      <w:r>
        <w:t>Full-stack/API y arquitectura.</w:t>
      </w:r>
    </w:p>
    <w:p>
      <w:pPr>
        <w:pStyle w:val="ListBullet"/>
      </w:pPr>
      <w:r>
        <w:t>PostgreSQL, migraciones, idempotencia y concurrencia.</w:t>
      </w:r>
    </w:p>
    <w:p>
      <w:pPr>
        <w:pStyle w:val="ListBullet"/>
      </w:pPr>
      <w:r>
        <w:t>QA automatizado y regresión visual.</w:t>
      </w:r>
    </w:p>
    <w:p>
      <w:pPr>
        <w:pStyle w:val="ListBullet"/>
      </w:pPr>
      <w:r>
        <w:t>Seguridad multi-tenant y gestión de secretos.</w:t>
      </w:r>
    </w:p>
    <w:p>
      <w:pPr>
        <w:pStyle w:val="ListBullet"/>
      </w:pPr>
      <w:r>
        <w:t>Validación con usuarios y comunicación de resultados.</w:t>
      </w:r>
    </w:p>
    <w:p>
      <w:pPr>
        <w:pStyle w:val="ListBullet"/>
      </w:pPr>
      <w:r>
        <w:t>BI/analítica para la evolución del producto.</w:t>
      </w:r>
    </w:p>
    <w:p>
      <w:pPr>
        <w:pStyle w:val="Heading1"/>
      </w:pPr>
      <w:r>
        <w:t>3. Riesgo de concentración</w:t>
      </w:r>
    </w:p>
    <w:p>
      <w:r>
        <w:t>Una parte importante del conocimiento técnico está concentrada en el rol Developer. La respuesta no es inventar nuevos cargos para la tesis, sino reducir bus factor mediante ADR, documentación reproducible, revisión por pares, scripts, checklists y sesiones de transferencia de conocimiento.</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Ingeniería en Informática · Capstone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LOCALITO · GESTIÓN DE PERSONAS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3D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