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0F3D56"/>
          <w:sz w:val="60"/>
        </w:rPr>
        <w:t>LOCALITO</w:t>
      </w:r>
    </w:p>
    <w:p>
      <w:pPr>
        <w:jc w:val="center"/>
      </w:pPr>
      <w:r>
        <w:rPr>
          <w:rFonts w:ascii="Arial" w:hAnsi="Arial"/>
          <w:b/>
          <w:color w:val="1F2937"/>
          <w:sz w:val="36"/>
        </w:rPr>
        <w:t>Enfoque de Gestión Agile de Localito</w:t>
      </w:r>
    </w:p>
    <w:p>
      <w:pPr>
        <w:jc w:val="center"/>
      </w:pPr>
      <w:r>
        <w:rPr>
          <w:rFonts w:ascii="Arial" w:hAnsi="Arial"/>
          <w:color w:val="475569"/>
          <w:sz w:val="21"/>
        </w:rPr>
        <w:t>Scrum como marco único del proyecto</w:t>
      </w:r>
    </w:p>
    <w:p/>
    <w:p>
      <w:pPr>
        <w:jc w:val="center"/>
      </w:pPr>
      <w:r>
        <w:rPr>
          <w:rFonts w:ascii="Arial" w:hAnsi="Arial"/>
          <w:sz w:val="20"/>
        </w:rPr>
        <w:t>Equipo: Camilo González · Alexander Patiño · Samuel Solís</w:t>
        <w:br/>
        <w:t>Septiembre 2026</w:t>
      </w:r>
    </w:p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AF2F8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Localito no adopta una metodología híbrida. Las áreas enseñadas en el ramo se reinterpretan como necesidades de gestión dentro de Scrum.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12539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Adaptacion_GPY_a_Scrum_Localit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253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/>
        <w:jc w:val="center"/>
      </w:pPr>
      <w:r>
        <w:rPr>
          <w:rFonts w:ascii="Arial" w:hAnsi="Arial"/>
          <w:i/>
          <w:color w:val="475569"/>
          <w:sz w:val="16"/>
        </w:rPr>
        <w:t>Figura 1. Adaptación de contenidos del ramo a Scrum.</w:t>
      </w:r>
    </w:p>
    <w:p>
      <w:pPr>
        <w:pStyle w:val="Heading1"/>
      </w:pPr>
      <w:r>
        <w:t>1. Justificación</w:t>
      </w:r>
    </w:p>
    <w:p>
      <w:r>
        <w:t>El producto se desarrolla bajo alta incertidumbre funcional y técnica: cambios de interfaz, validaciones pendientes, integraciones externas, IA, comportamiento offline y evidencia académica evolucionan a medida que el equipo obtiene feedback. Scrum permite inspeccionar el incremento y adaptar el Product Backlog sin congelar prematuramente una línea base de alcance.</w:t>
      </w:r>
    </w:p>
    <w:p>
      <w:pPr>
        <w:pStyle w:val="Heading1"/>
      </w:pPr>
      <w:r>
        <w:t>2. Qué se conserva del ramo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2880"/>
            <w:shd w:fill="0F3D5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Área</w:t>
            </w:r>
          </w:p>
        </w:tc>
        <w:tc>
          <w:tcPr>
            <w:tcW w:type="dxa" w:w="4464"/>
            <w:shd w:fill="0F3D5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Necesidad que sí se conserva</w:t>
            </w:r>
          </w:p>
        </w:tc>
        <w:tc>
          <w:tcPr>
            <w:tcW w:type="dxa" w:w="4320"/>
            <w:shd w:fill="0F3D5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Expresión en Localito</w:t>
            </w:r>
          </w:p>
        </w:tc>
      </w:tr>
      <w:tr>
        <w:trPr>
          <w:cantSplit/>
        </w:trPr>
        <w:tc>
          <w:tcPr>
            <w:tcW w:type="dxa" w:w="288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line="240" w:lineRule="auto"/>
            </w:pPr>
            <w:r>
              <w:rPr>
                <w:rFonts w:ascii="Arial" w:hAnsi="Arial"/>
                <w:sz w:val="16"/>
              </w:rPr>
              <w:t>Alcance/requerimientos</w:t>
            </w:r>
          </w:p>
        </w:tc>
        <w:tc>
          <w:tcPr>
            <w:tcW w:type="dxa" w:w="446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line="240" w:lineRule="auto"/>
            </w:pPr>
            <w:r>
              <w:rPr>
                <w:rFonts w:ascii="Arial" w:hAnsi="Arial"/>
                <w:sz w:val="16"/>
              </w:rPr>
              <w:t>Saber qué problema y qué producto se pretende entregar.</w:t>
            </w:r>
          </w:p>
        </w:tc>
        <w:tc>
          <w:tcPr>
            <w:tcW w:type="dxa" w:w="43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line="240" w:lineRule="auto"/>
            </w:pPr>
            <w:r>
              <w:rPr>
                <w:rFonts w:ascii="Arial" w:hAnsi="Arial"/>
                <w:sz w:val="16"/>
              </w:rPr>
              <w:t>Product Goal, Product Backlog, criterios de aceptación.</w:t>
            </w:r>
          </w:p>
        </w:tc>
      </w:tr>
      <w:tr>
        <w:trPr>
          <w:cantSplit/>
        </w:trPr>
        <w:tc>
          <w:tcPr>
            <w:tcW w:type="dxa" w:w="288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line="240" w:lineRule="auto"/>
            </w:pPr>
            <w:r>
              <w:rPr>
                <w:rFonts w:ascii="Arial" w:hAnsi="Arial"/>
                <w:sz w:val="16"/>
              </w:rPr>
              <w:t>Tiempo</w:t>
            </w:r>
          </w:p>
        </w:tc>
        <w:tc>
          <w:tcPr>
            <w:tcW w:type="dxa" w:w="446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line="240" w:lineRule="auto"/>
            </w:pPr>
            <w:r>
              <w:rPr>
                <w:rFonts w:ascii="Arial" w:hAnsi="Arial"/>
                <w:sz w:val="16"/>
              </w:rPr>
              <w:t>Coordinar trabajo con fechas académicas reales.</w:t>
            </w:r>
          </w:p>
        </w:tc>
        <w:tc>
          <w:tcPr>
            <w:tcW w:type="dxa" w:w="43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line="240" w:lineRule="auto"/>
            </w:pPr>
            <w:r>
              <w:rPr>
                <w:rFonts w:ascii="Arial" w:hAnsi="Arial"/>
                <w:sz w:val="16"/>
              </w:rPr>
              <w:t>Roadmap, Release Plan, Sprint Goals, calendario oficial.</w:t>
            </w:r>
          </w:p>
        </w:tc>
      </w:tr>
      <w:tr>
        <w:trPr>
          <w:cantSplit/>
        </w:trPr>
        <w:tc>
          <w:tcPr>
            <w:tcW w:type="dxa" w:w="288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line="240" w:lineRule="auto"/>
            </w:pPr>
            <w:r>
              <w:rPr>
                <w:rFonts w:ascii="Arial" w:hAnsi="Arial"/>
                <w:sz w:val="16"/>
              </w:rPr>
              <w:t>Costos/recursos</w:t>
            </w:r>
          </w:p>
        </w:tc>
        <w:tc>
          <w:tcPr>
            <w:tcW w:type="dxa" w:w="446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line="240" w:lineRule="auto"/>
            </w:pPr>
            <w:r>
              <w:rPr>
                <w:rFonts w:ascii="Arial" w:hAnsi="Arial"/>
                <w:sz w:val="16"/>
              </w:rPr>
              <w:t>Entender restricciones y capacidad.</w:t>
            </w:r>
          </w:p>
        </w:tc>
        <w:tc>
          <w:tcPr>
            <w:tcW w:type="dxa" w:w="43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line="240" w:lineRule="auto"/>
            </w:pPr>
            <w:r>
              <w:rPr>
                <w:rFonts w:ascii="Arial" w:hAnsi="Arial"/>
                <w:sz w:val="16"/>
              </w:rPr>
              <w:t>Guardrails económicos, capacidad de equipo, proveedores.</w:t>
            </w:r>
          </w:p>
        </w:tc>
      </w:tr>
      <w:tr>
        <w:trPr>
          <w:cantSplit/>
        </w:trPr>
        <w:tc>
          <w:tcPr>
            <w:tcW w:type="dxa" w:w="288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line="240" w:lineRule="auto"/>
            </w:pPr>
            <w:r>
              <w:rPr>
                <w:rFonts w:ascii="Arial" w:hAnsi="Arial"/>
                <w:sz w:val="16"/>
              </w:rPr>
              <w:t>Calidad</w:t>
            </w:r>
          </w:p>
        </w:tc>
        <w:tc>
          <w:tcPr>
            <w:tcW w:type="dxa" w:w="446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line="240" w:lineRule="auto"/>
            </w:pPr>
            <w:r>
              <w:rPr>
                <w:rFonts w:ascii="Arial" w:hAnsi="Arial"/>
                <w:sz w:val="16"/>
              </w:rPr>
              <w:t>Definir qué significa entregar correctamente.</w:t>
            </w:r>
          </w:p>
        </w:tc>
        <w:tc>
          <w:tcPr>
            <w:tcW w:type="dxa" w:w="43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line="240" w:lineRule="auto"/>
            </w:pPr>
            <w:r>
              <w:rPr>
                <w:rFonts w:ascii="Arial" w:hAnsi="Arial"/>
                <w:sz w:val="16"/>
              </w:rPr>
              <w:t>DoD, pruebas continuas y evidencia.</w:t>
            </w:r>
          </w:p>
        </w:tc>
      </w:tr>
      <w:tr>
        <w:trPr>
          <w:cantSplit/>
        </w:trPr>
        <w:tc>
          <w:tcPr>
            <w:tcW w:type="dxa" w:w="288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line="240" w:lineRule="auto"/>
            </w:pPr>
            <w:r>
              <w:rPr>
                <w:rFonts w:ascii="Arial" w:hAnsi="Arial"/>
                <w:sz w:val="16"/>
              </w:rPr>
              <w:t>Comunicaciones/interesados</w:t>
            </w:r>
          </w:p>
        </w:tc>
        <w:tc>
          <w:tcPr>
            <w:tcW w:type="dxa" w:w="446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line="240" w:lineRule="auto"/>
            </w:pPr>
            <w:r>
              <w:rPr>
                <w:rFonts w:ascii="Arial" w:hAnsi="Arial"/>
                <w:sz w:val="16"/>
              </w:rPr>
              <w:t>Obtener información y feedback oportuno.</w:t>
            </w:r>
          </w:p>
        </w:tc>
        <w:tc>
          <w:tcPr>
            <w:tcW w:type="dxa" w:w="43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line="240" w:lineRule="auto"/>
            </w:pPr>
            <w:r>
              <w:rPr>
                <w:rFonts w:ascii="Arial" w:hAnsi="Arial"/>
                <w:sz w:val="16"/>
              </w:rPr>
              <w:t>Eventos Scrum y validación con stakeholders.</w:t>
            </w:r>
          </w:p>
        </w:tc>
      </w:tr>
      <w:tr>
        <w:trPr>
          <w:cantSplit/>
        </w:trPr>
        <w:tc>
          <w:tcPr>
            <w:tcW w:type="dxa" w:w="288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line="240" w:lineRule="auto"/>
            </w:pPr>
            <w:r>
              <w:rPr>
                <w:rFonts w:ascii="Arial" w:hAnsi="Arial"/>
                <w:sz w:val="16"/>
              </w:rPr>
              <w:t>Riesgos/adquisiciones</w:t>
            </w:r>
          </w:p>
        </w:tc>
        <w:tc>
          <w:tcPr>
            <w:tcW w:type="dxa" w:w="446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line="240" w:lineRule="auto"/>
            </w:pPr>
            <w:r>
              <w:rPr>
                <w:rFonts w:ascii="Arial" w:hAnsi="Arial"/>
                <w:sz w:val="16"/>
              </w:rPr>
              <w:t>Gestionar incertidumbre/dependencias.</w:t>
            </w:r>
          </w:p>
        </w:tc>
        <w:tc>
          <w:tcPr>
            <w:tcW w:type="dxa" w:w="43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line="240" w:lineRule="auto"/>
            </w:pPr>
            <w:r>
              <w:rPr>
                <w:rFonts w:ascii="Arial" w:hAnsi="Arial"/>
                <w:sz w:val="16"/>
              </w:rPr>
              <w:t>Risk backlog, impedimentos y registro de proveedores.</w:t>
            </w:r>
          </w:p>
        </w:tc>
      </w:tr>
    </w:tbl>
    <w:p>
      <w:pPr>
        <w:pStyle w:val="Heading1"/>
      </w:pPr>
      <w:r>
        <w:t>3. Qué no se usa como sistema de control</w:t>
      </w:r>
    </w:p>
    <w:p>
      <w:pPr>
        <w:pStyle w:val="ListBullet"/>
      </w:pPr>
      <w:r>
        <w:t>EDT/WBS como estructura principal del trabajo.</w:t>
      </w:r>
    </w:p>
    <w:p>
      <w:pPr>
        <w:pStyle w:val="ListBullet"/>
      </w:pPr>
      <w:r>
        <w:t>Carta Gantt maestra para dirigir el día a día.</w:t>
      </w:r>
    </w:p>
    <w:p>
      <w:pPr>
        <w:pStyle w:val="ListBullet"/>
      </w:pPr>
      <w:r>
        <w:t>Línea base rígida de alcance y comité formal para cada cambio.</w:t>
      </w:r>
    </w:p>
    <w:p>
      <w:pPr>
        <w:pStyle w:val="ListBullet"/>
      </w:pPr>
      <w:r>
        <w:t>Project Manager como jerarquía que asigna microtareas.</w:t>
      </w:r>
    </w:p>
    <w:p>
      <w:pPr>
        <w:pStyle w:val="ListBullet"/>
      </w:pPr>
      <w:r>
        <w:t>Valor Ganado cuando no existen PV/EV/AC históricos confiables.</w:t>
      </w:r>
    </w:p>
    <w:p>
      <w:pPr>
        <w:pStyle w:val="ListBullet"/>
      </w:pPr>
      <w:r>
        <w:t>QA como etapa separada al final.</w:t>
      </w:r>
    </w:p>
    <w:p>
      <w:pPr>
        <w:pStyle w:val="Heading1"/>
      </w:pPr>
      <w:r>
        <w:t>4. Gobernanza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480560" cy="287625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Ciclo_Gobernanza_Agil_Localito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80560" cy="28762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/>
        <w:jc w:val="center"/>
      </w:pPr>
      <w:r>
        <w:rPr>
          <w:rFonts w:ascii="Arial" w:hAnsi="Arial"/>
          <w:i/>
          <w:color w:val="475569"/>
          <w:sz w:val="16"/>
        </w:rPr>
        <w:t>Figura 2. Ciclo de inspección y adaptación del proyecto.</w:t>
      </w:r>
    </w:p>
    <w:p>
      <w:r>
        <w:t>La gobernanza se apoya en Product Goal, Product Backlog, Sprint Goal, incremento, Sprint Review y Retrospectiva. Las decisiones se vuelven trazables porque el feedback relevante termina reflejado como prioridad, criterio, riesgo, tarea o decisión documental.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37" w:bottom="936" w:left="1037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/>
        <w:color w:val="64748B"/>
        <w:sz w:val="16"/>
      </w:rPr>
      <w:t xml:space="preserve">Ingeniería en Informática · Capstone 2026 · </w:t>
    </w:r>
    <w:r>
      <w:t xml:space="preserve">Página </w:t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color w:val="64748B"/>
        <w:sz w:val="16"/>
      </w:rPr>
      <w:t>LOCALITO · GESTIÓN DE PROYECTOS INFORMÁTICOS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10" w:line="259" w:lineRule="auto"/>
      <w:jc w:val="both"/>
    </w:pPr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0F3D56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37415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