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3D56"/>
          <w:sz w:val="60"/>
        </w:rPr>
        <w:t>LOCALITO</w:t>
      </w:r>
    </w:p>
    <w:p>
      <w:pPr>
        <w:jc w:val="center"/>
      </w:pPr>
      <w:r>
        <w:rPr>
          <w:rFonts w:ascii="Arial" w:hAnsi="Arial"/>
          <w:b/>
          <w:color w:val="1F2937"/>
          <w:sz w:val="36"/>
        </w:rPr>
        <w:t>Arquitectura de Integraciones de Localito</w:t>
      </w:r>
    </w:p>
    <w:p>
      <w:pPr>
        <w:jc w:val="center"/>
      </w:pPr>
      <w:r>
        <w:rPr>
          <w:rFonts w:ascii="Arial" w:hAnsi="Arial"/>
          <w:color w:val="475569"/>
          <w:sz w:val="21"/>
        </w:rPr>
        <w:t>Capas, límites y flujos de comunicación</w:t>
      </w:r>
    </w:p>
    <w:p/>
    <w:p>
      <w:pPr>
        <w:jc w:val="center"/>
      </w:pPr>
      <w:r>
        <w:rPr>
          <w:rFonts w:ascii="Arial" w:hAnsi="Arial"/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La integración más importante es interna: PWA → API → PostgreSQL. Las integraciones externas se conectan al backend para evitar que el navegador sea responsable de secretos o reglas críticas.</w:t>
            </w:r>
          </w:p>
        </w:tc>
      </w:tr>
    </w:tbl>
    <w:p>
      <w:pPr>
        <w:pStyle w:val="Heading1"/>
      </w:pPr>
      <w:r>
        <w:t>1. Contexto general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9615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ntexto_Integracion_Locali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61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475569"/>
          <w:sz w:val="16"/>
        </w:rPr>
        <w:t>Figura 1. Contexto de integración de Localito.</w:t>
      </w:r>
    </w:p>
    <w:p>
      <w:pPr>
        <w:pStyle w:val="Heading1"/>
      </w:pPr>
      <w:r>
        <w:t>2. Arquitectura por capas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448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Capa</w:t>
            </w:r>
          </w:p>
        </w:tc>
        <w:tc>
          <w:tcPr>
            <w:tcW w:type="dxa" w:w="4464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Responsabilidad</w:t>
            </w:r>
          </w:p>
        </w:tc>
        <w:tc>
          <w:tcPr>
            <w:tcW w:type="dxa" w:w="4320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Tecnología / contrato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Presentación</w:t>
            </w:r>
          </w:p>
        </w:tc>
        <w:tc>
          <w:tcPr>
            <w:tcW w:type="dxa" w:w="44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Interacción, PWA, experiencia móvil y continuidad local.</w:t>
            </w:r>
          </w:p>
        </w:tc>
        <w:tc>
          <w:tcPr>
            <w:tcW w:type="dxa" w:w="43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React, Vite, IndexedDB; consume REST/JSON.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Negocio / servicios</w:t>
            </w:r>
          </w:p>
        </w:tc>
        <w:tc>
          <w:tcPr>
            <w:tcW w:type="dxa" w:w="44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Autenticación, roles, tenant, validaciones, suscripción, POS, IA y orquestación.</w:t>
            </w:r>
          </w:p>
        </w:tc>
        <w:tc>
          <w:tcPr>
            <w:tcW w:type="dxa" w:w="43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Node.js + Express + contratos compartidos TypeScript.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Datos</w:t>
            </w:r>
          </w:p>
        </w:tc>
        <w:tc>
          <w:tcPr>
            <w:tcW w:type="dxa" w:w="44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Persistencia multi-negocio, transacciones y auditoría.</w:t>
            </w:r>
          </w:p>
        </w:tc>
        <w:tc>
          <w:tcPr>
            <w:tcW w:type="dxa" w:w="43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PostgreSQL/Supabase mediante pg.Pool.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Integraciones externas</w:t>
            </w:r>
          </w:p>
        </w:tc>
        <w:tc>
          <w:tcPr>
            <w:tcW w:type="dxa" w:w="446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Visión y correo transaccional; enlaces externos.</w:t>
            </w:r>
          </w:p>
        </w:tc>
        <w:tc>
          <w:tcPr>
            <w:tcW w:type="dxa" w:w="432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Groq/OpenAI REST; Resend REST; Gmail SMTP; wa.me.</w:t>
            </w:r>
          </w:p>
        </w:tc>
      </w:tr>
    </w:tbl>
    <w:p>
      <w:pPr>
        <w:pStyle w:val="Heading1"/>
      </w:pPr>
      <w:r>
        <w:t>3. Integración de datos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63440" cy="23477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Integracion_Datos_Postgr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347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475569"/>
          <w:sz w:val="16"/>
        </w:rPr>
        <w:t>Figura 2. Repositorio, persistencia y fallback no productivo.</w:t>
      </w:r>
    </w:p>
    <w:p>
      <w:r>
        <w:t>La misma interfaz de repositorio permite ejecutar el dominio sobre memoria en desarrollo/pruebas o sobre PostgreSQL. En producción/Vercel, la aplicación exige persistencia PostgreSQL y falla al iniciar si no existe una conexión válida. Esto evita presentar el repositorio en memoria como alternativa productiva.</w:t>
      </w:r>
    </w:p>
    <w:p>
      <w:pPr>
        <w:pStyle w:val="Heading1"/>
      </w:pPr>
      <w:r>
        <w:t>4. Límites relevantes</w:t>
      </w:r>
    </w:p>
    <w:p>
      <w:pPr>
        <w:pStyle w:val="ListBullet"/>
      </w:pPr>
      <w:r>
        <w:t>IndexedDB y localStorage son mecanismos de continuidad, no la base oficial ni un backup.</w:t>
      </w:r>
    </w:p>
    <w:p>
      <w:pPr>
        <w:pStyle w:val="ListBullet"/>
      </w:pPr>
      <w:r>
        <w:t>La API es la frontera para autorización y aislamiento multi-negocio.</w:t>
      </w:r>
    </w:p>
    <w:p>
      <w:pPr>
        <w:pStyle w:val="ListBullet"/>
      </w:pPr>
      <w:r>
        <w:t>Los proveedores de IA y correo pueden fallar sin redefinir el modelo de datos interno.</w:t>
      </w:r>
    </w:p>
    <w:p>
      <w:pPr>
        <w:pStyle w:val="ListBullet"/>
      </w:pPr>
      <w:r>
        <w:t>Los pagos externos actuales no deben representarse como integraciones API reales.</w:t>
      </w:r>
    </w:p>
    <w:p>
      <w:pPr>
        <w:pStyle w:val="Heading1"/>
      </w:pPr>
      <w:r>
        <w:t>Fuentes de referencia</w:t>
      </w:r>
    </w:p>
    <w:p>
      <w:pPr>
        <w:pStyle w:val="ListBullet"/>
      </w:pPr>
      <w:r>
        <w:t>Material de ASY5131 Integración de Plataformas: arquitectura por capas, interoperabilidad, BPMN y webservices REST/SOAP.</w:t>
      </w:r>
    </w:p>
    <w:p>
      <w:pPr>
        <w:pStyle w:val="ListBullet"/>
      </w:pPr>
      <w:r>
        <w:t>Pauta de evaluación FERREMAS: API/Webservice funcional, integración con base de datos, servicios reutilizables, documentación y pruebas.</w:t>
      </w:r>
    </w:p>
    <w:p>
      <w:pPr>
        <w:pStyle w:val="ListBullet"/>
      </w:pPr>
      <w:r>
        <w:t>Repositorio LocalitoSaaS: Estado-Actual.md, Alcance-Tesis.md, server.ts, repository.ts, vision.ts, visionProvider.ts y email.ts.</w:t>
      </w:r>
    </w:p>
    <w:p>
      <w:pPr>
        <w:pStyle w:val="ListBullet"/>
      </w:pPr>
      <w:r>
        <w:t>La documentación distingue explícitamente integración implementada, integración configurable, simulación académica y elemento fuera de alcance.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LOCALITO · INTEGRACIÓN DE PLATAFORMAS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  <w:jc w:val="both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