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3D56"/>
          <w:sz w:val="60"/>
        </w:rPr>
        <w:t>LOCALITO</w:t>
      </w:r>
    </w:p>
    <w:p>
      <w:pPr>
        <w:jc w:val="center"/>
      </w:pPr>
      <w:r>
        <w:rPr>
          <w:b/>
          <w:color w:val="1F2937"/>
          <w:sz w:val="36"/>
        </w:rPr>
        <w:t>00 · Package Index</w:t>
      </w:r>
    </w:p>
    <w:p>
      <w:pPr>
        <w:jc w:val="center"/>
      </w:pPr>
      <w:r>
        <w:rPr>
          <w:color w:val="475569"/>
          <w:sz w:val="21"/>
        </w:rPr>
        <w:t>Localito written and oral project</w:t>
      </w:r>
    </w:p>
    <w:p/>
    <w:p>
      <w:pPr>
        <w:jc w:val="center"/>
      </w:pPr>
      <w:r>
        <w:rPr>
          <w:sz w:val="20"/>
        </w:rPr>
        <w:t>Team: Camilo González · Alexander Patiño · Samuel Solís</w:t>
        <w:br/>
        <w:t>Septiembre 2026</w:t>
      </w:r>
    </w:p>
    <w:p>
      <w:r>
        <w:br w:type="page"/>
      </w:r>
    </w:p>
    <w:tbl>
      <w:tblPr>
        <w:tblW w:type="auto" w:w="0"/>
        <w:jc w:val="center"/>
        <w:tblLook w:firstColumn="1" w:firstRow="1" w:lastColumn="0" w:lastRow="0" w:noHBand="0" w:noVBand="1" w:val="04A0"/>
      </w:tblPr>
      <w:tblGrid>
        <w:gridCol w:w="10166"/>
      </w:tblGrid>
      <w:tr>
        <w:tc>
          <w:tcPr>
            <w:tcW w:type="dxa" w:w="10166"/>
            <w:shd w:fill="EAF2F8"/>
            <w:tcMar>
              <w:top w:w="110" w:type="dxa"/>
              <w:start w:w="110" w:type="dxa"/>
              <w:bottom w:w="110" w:type="dxa"/>
              <w:end w:w="110" w:type="dxa"/>
            </w:tcMar>
          </w:tcPr>
          <w:p>
            <w:pPr>
              <w:spacing w:line="240" w:lineRule="auto"/>
            </w:pPr>
            <w:r>
              <w:rPr>
                <w:sz w:val="18"/>
              </w:rPr>
              <w:t>The previous ESP1513 project and the Written Project Checklist were used as structural references. This Localito package updates the content to the current product and avoids copying outdated Urban stack or results.</w:t>
            </w:r>
          </w:p>
        </w:tc>
      </w:tr>
    </w:tbl>
    <w:tbl>
      <w:tblPr>
        <w:tblStyle w:val="TableGrid"/>
        <w:tblW w:type="auto" w:w="0"/>
        <w:jc w:val="center"/>
        <w:tblLook w:firstColumn="1" w:firstRow="1" w:lastColumn="0" w:lastRow="0" w:noHBand="0" w:noVBand="1" w:val="04A0"/>
      </w:tblPr>
      <w:tblGrid>
        <w:gridCol w:w="5083"/>
        <w:gridCol w:w="5083"/>
      </w:tblGrid>
      <w:tr>
        <w:trPr>
          <w:tblHeader w:val="true"/>
        </w:trPr>
        <w:tc>
          <w:tcPr>
            <w:tcW w:type="dxa" w:w="3888"/>
            <w:shd w:fill="0F3D56"/>
            <w:vAlign w:val="center"/>
            <w:tcMar>
              <w:top w:w="70" w:type="dxa"/>
              <w:start w:w="70" w:type="dxa"/>
              <w:bottom w:w="70" w:type="dxa"/>
              <w:end w:w="70" w:type="dxa"/>
            </w:tcMar>
          </w:tcPr>
          <w:p>
            <w:pPr>
              <w:spacing w:line="240" w:lineRule="auto"/>
              <w:jc w:val="center"/>
            </w:pPr>
            <w:r>
              <w:rPr>
                <w:b/>
                <w:color w:val="FFFFFF"/>
                <w:sz w:val="16"/>
              </w:rPr>
              <w:t>Document</w:t>
            </w:r>
          </w:p>
        </w:tc>
        <w:tc>
          <w:tcPr>
            <w:tcW w:type="dxa" w:w="7056"/>
            <w:shd w:fill="0F3D56"/>
            <w:vAlign w:val="center"/>
            <w:tcMar>
              <w:top w:w="70" w:type="dxa"/>
              <w:start w:w="70" w:type="dxa"/>
              <w:bottom w:w="70" w:type="dxa"/>
              <w:end w:w="70" w:type="dxa"/>
            </w:tcMar>
          </w:tcPr>
          <w:p>
            <w:pPr>
              <w:spacing w:line="240" w:lineRule="auto"/>
              <w:jc w:val="center"/>
            </w:pPr>
            <w:r>
              <w:rPr>
                <w:b/>
                <w:color w:val="FFFFFF"/>
                <w:sz w:val="16"/>
              </w:rPr>
              <w:t>Purpose</w:t>
            </w:r>
          </w:p>
        </w:tc>
      </w:tr>
      <w:tr>
        <w:trPr>
          <w:cantSplit/>
        </w:trPr>
        <w:tc>
          <w:tcPr>
            <w:tcW w:type="dxa" w:w="3888"/>
            <w:vAlign w:val="top"/>
            <w:tcMar>
              <w:top w:w="70" w:type="dxa"/>
              <w:start w:w="70" w:type="dxa"/>
              <w:bottom w:w="70" w:type="dxa"/>
              <w:end w:w="70" w:type="dxa"/>
            </w:tcMar>
          </w:tcPr>
          <w:p>
            <w:pPr>
              <w:spacing w:line="240" w:lineRule="auto"/>
            </w:pPr>
            <w:r>
              <w:rPr>
                <w:sz w:val="16"/>
              </w:rPr>
              <w:t>01 Written Project</w:t>
            </w:r>
          </w:p>
        </w:tc>
        <w:tc>
          <w:tcPr>
            <w:tcW w:type="dxa" w:w="7056"/>
            <w:vAlign w:val="top"/>
            <w:tcMar>
              <w:top w:w="70" w:type="dxa"/>
              <w:start w:w="70" w:type="dxa"/>
              <w:bottom w:w="70" w:type="dxa"/>
              <w:end w:w="70" w:type="dxa"/>
            </w:tcMar>
          </w:tcPr>
          <w:p>
            <w:pPr>
              <w:spacing w:line="240" w:lineRule="auto"/>
            </w:pPr>
            <w:r>
              <w:rPr>
                <w:sz w:val="16"/>
              </w:rPr>
              <w:t>Abstract, introduction, methodology, technology, testing, limitations, conclusion.</w:t>
            </w:r>
          </w:p>
        </w:tc>
      </w:tr>
      <w:tr>
        <w:trPr>
          <w:cantSplit/>
        </w:trPr>
        <w:tc>
          <w:tcPr>
            <w:tcW w:type="dxa" w:w="3888"/>
            <w:vAlign w:val="top"/>
            <w:tcMar>
              <w:top w:w="70" w:type="dxa"/>
              <w:start w:w="70" w:type="dxa"/>
              <w:bottom w:w="70" w:type="dxa"/>
              <w:end w:w="70" w:type="dxa"/>
            </w:tcMar>
          </w:tcPr>
          <w:p>
            <w:pPr>
              <w:spacing w:line="240" w:lineRule="auto"/>
            </w:pPr>
            <w:r>
              <w:rPr>
                <w:sz w:val="16"/>
              </w:rPr>
              <w:t>02 Oral Defense</w:t>
            </w:r>
          </w:p>
        </w:tc>
        <w:tc>
          <w:tcPr>
            <w:tcW w:type="dxa" w:w="7056"/>
            <w:vAlign w:val="top"/>
            <w:tcMar>
              <w:top w:w="70" w:type="dxa"/>
              <w:start w:w="70" w:type="dxa"/>
              <w:bottom w:w="70" w:type="dxa"/>
              <w:end w:w="70" w:type="dxa"/>
            </w:tcMar>
          </w:tcPr>
          <w:p>
            <w:pPr>
              <w:spacing w:line="240" w:lineRule="auto"/>
            </w:pPr>
            <w:r>
              <w:rPr>
                <w:sz w:val="16"/>
              </w:rPr>
              <w:t>Short English presentation and difficult questions.</w:t>
            </w:r>
          </w:p>
        </w:tc>
      </w:tr>
      <w:tr>
        <w:trPr>
          <w:cantSplit/>
        </w:trPr>
        <w:tc>
          <w:tcPr>
            <w:tcW w:type="dxa" w:w="3888"/>
            <w:vAlign w:val="top"/>
            <w:tcMar>
              <w:top w:w="70" w:type="dxa"/>
              <w:start w:w="70" w:type="dxa"/>
              <w:bottom w:w="70" w:type="dxa"/>
              <w:end w:w="70" w:type="dxa"/>
            </w:tcMar>
          </w:tcPr>
          <w:p>
            <w:pPr>
              <w:spacing w:line="240" w:lineRule="auto"/>
            </w:pPr>
            <w:r>
              <w:rPr>
                <w:sz w:val="16"/>
              </w:rPr>
              <w:t>03 Technical Glossary &amp; Checklist</w:t>
            </w:r>
          </w:p>
        </w:tc>
        <w:tc>
          <w:tcPr>
            <w:tcW w:type="dxa" w:w="7056"/>
            <w:vAlign w:val="top"/>
            <w:tcMar>
              <w:top w:w="70" w:type="dxa"/>
              <w:start w:w="70" w:type="dxa"/>
              <w:bottom w:w="70" w:type="dxa"/>
              <w:end w:w="70" w:type="dxa"/>
            </w:tcMar>
          </w:tcPr>
          <w:p>
            <w:pPr>
              <w:spacing w:line="240" w:lineRule="auto"/>
            </w:pPr>
            <w:r>
              <w:rPr>
                <w:sz w:val="16"/>
              </w:rPr>
              <w:t>Terminology and final proofreading controls.</w:t>
            </w:r>
          </w:p>
        </w:tc>
      </w:tr>
    </w:tbl>
    <w:sectPr w:rsidR="00FC693F" w:rsidRPr="0006063C" w:rsidSect="00034616">
      <w:headerReference w:type="default" r:id="rId9"/>
      <w:footerReference w:type="default" r:id="rId10"/>
      <w:pgSz w:w="12240" w:h="15840"/>
      <w:pgMar w:top="893" w:right="1037" w:bottom="893" w:left="1037"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748B"/>
        <w:sz w:val="16"/>
      </w:rPr>
      <w:t xml:space="preserve">Ingeniería en Informática · Capstone 2026 · </w:t>
    </w:r>
    <w:r>
      <w:t xml:space="preserve">Página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6"/>
      </w:rPr>
      <w:t>LOCALITO · INTEGRATED ENGLISH PRACTICE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jc w:val="both"/>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F3D56"/>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37415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