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F3D56"/>
          <w:sz w:val="60"/>
        </w:rPr>
        <w:t>LOCALITO</w:t>
      </w:r>
    </w:p>
    <w:p>
      <w:pPr>
        <w:jc w:val="center"/>
      </w:pPr>
      <w:r>
        <w:rPr>
          <w:rFonts w:ascii="Calibri" w:hAnsi="Calibri"/>
          <w:b/>
          <w:color w:val="1F2937"/>
          <w:sz w:val="36"/>
        </w:rPr>
        <w:t>Modelo Dimensional Kimball</w:t>
      </w:r>
    </w:p>
    <w:p>
      <w:pPr>
        <w:jc w:val="center"/>
      </w:pPr>
      <w:r>
        <w:rPr>
          <w:rFonts w:ascii="Calibri" w:hAnsi="Calibri"/>
          <w:color w:val="475569"/>
          <w:sz w:val="22"/>
        </w:rPr>
        <w:t>Data Mart de Ventas</w:t>
      </w:r>
    </w:p>
    <w:p/>
    <w:p>
      <w:pPr>
        <w:jc w:val="center"/>
      </w:pPr>
      <w:r>
        <w:rPr>
          <w:rFonts w:ascii="Calibri" w:hAnsi="Calibri"/>
          <w:sz w:val="21"/>
        </w:rPr>
        <w:t>Integrantes: Camilo González · Alexander Patiño · Samuel Solís</w:t>
        <w:br/>
        <w:t>Asignatura: Inteligencia de Negocios</w:t>
        <w:br/>
        <w:t>Docente: Daniel Carrasco Diaz</w:t>
        <w:br/>
        <w:t>Septiembre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El modelo transaccional de Localito no se reemplaza. El Data Mart es una estructura analítica derivada y desacoplada.</w:t>
            </w:r>
          </w:p>
        </w:tc>
      </w:tr>
    </w:tbl>
    <w:p>
      <w:pPr>
        <w:pStyle w:val="Heading1"/>
      </w:pPr>
      <w:r>
        <w:t>1. Definición del grano</w:t>
      </w:r>
    </w:p>
    <w:p>
      <w:r>
        <w:t>FactVentaDetalle representa exactamente una línea de producto de una venta activa. Fijar el grano antes de elegir medidas evita mezclar totales de cabecera con detalle y duplicar valores.</w:t>
      </w:r>
    </w:p>
    <w:p>
      <w:pPr>
        <w:pStyle w:val="Heading1"/>
      </w:pPr>
      <w:r>
        <w:t>2. Tabla de hechos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880"/>
            <w:shd w:fill="0F3D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Medida</w:t>
            </w:r>
          </w:p>
        </w:tc>
        <w:tc>
          <w:tcPr>
            <w:tcW w:type="dxa" w:w="3600"/>
            <w:shd w:fill="0F3D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Origen</w:t>
            </w:r>
          </w:p>
        </w:tc>
        <w:tc>
          <w:tcPr>
            <w:tcW w:type="dxa" w:w="5328"/>
            <w:shd w:fill="0F3D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Tratamiento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cantidad</w:t>
            </w:r>
          </w:p>
        </w:tc>
        <w:tc>
          <w:tcPr>
            <w:tcW w:type="dxa" w:w="360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detalle_ventas.cantidad</w:t>
            </w:r>
          </w:p>
        </w:tc>
        <w:tc>
          <w:tcPr>
            <w:tcW w:type="dxa" w:w="532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Aditiva por producto/fecha.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precio_unitario</w:t>
            </w:r>
          </w:p>
        </w:tc>
        <w:tc>
          <w:tcPr>
            <w:tcW w:type="dxa" w:w="360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detalle_ventas.precio_unitario</w:t>
            </w:r>
          </w:p>
        </w:tc>
        <w:tc>
          <w:tcPr>
            <w:tcW w:type="dxa" w:w="532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Valor histórico de venta por unidad.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bruto_linea</w:t>
            </w:r>
          </w:p>
        </w:tc>
        <w:tc>
          <w:tcPr>
            <w:tcW w:type="dxa" w:w="360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detalle_ventas.subtotal</w:t>
            </w:r>
          </w:p>
        </w:tc>
        <w:tc>
          <w:tcPr>
            <w:tcW w:type="dxa" w:w="532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Monto antes de descuento asignado.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descuento_asignado</w:t>
            </w:r>
          </w:p>
        </w:tc>
        <w:tc>
          <w:tcPr>
            <w:tcW w:type="dxa" w:w="360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ventas.descuento</w:t>
            </w:r>
          </w:p>
        </w:tc>
        <w:tc>
          <w:tcPr>
            <w:tcW w:type="dxa" w:w="532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Prorrateo proporcional por línea.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neto_linea</w:t>
            </w:r>
          </w:p>
        </w:tc>
        <w:tc>
          <w:tcPr>
            <w:tcW w:type="dxa" w:w="360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Derivado</w:t>
            </w:r>
          </w:p>
        </w:tc>
        <w:tc>
          <w:tcPr>
            <w:tcW w:type="dxa" w:w="532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bruto_linea - descuento_asignado.</w:t>
            </w:r>
          </w:p>
        </w:tc>
      </w:tr>
    </w:tbl>
    <w:p>
      <w:pPr>
        <w:pStyle w:val="Heading1"/>
      </w:pPr>
      <w:r>
        <w:t>3. Dimensiones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880"/>
            <w:shd w:fill="0F3D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Dimensión</w:t>
            </w:r>
          </w:p>
        </w:tc>
        <w:tc>
          <w:tcPr>
            <w:tcW w:type="dxa" w:w="6048"/>
            <w:shd w:fill="0F3D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Atributos clave</w:t>
            </w:r>
          </w:p>
        </w:tc>
        <w:tc>
          <w:tcPr>
            <w:tcW w:type="dxa" w:w="2160"/>
            <w:shd w:fill="0F3D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SCD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DimFecha</w:t>
            </w:r>
          </w:p>
        </w:tc>
        <w:tc>
          <w:tcPr>
            <w:tcW w:type="dxa" w:w="604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día, mes, trimestre, año, semana, día semana</w:t>
            </w:r>
          </w:p>
        </w:tc>
        <w:tc>
          <w:tcPr>
            <w:tcW w:type="dxa" w:w="216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Estática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DimNegocio</w:t>
            </w:r>
          </w:p>
        </w:tc>
        <w:tc>
          <w:tcPr>
            <w:tcW w:type="dxa" w:w="604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nombre, rubro, estado</w:t>
            </w:r>
          </w:p>
        </w:tc>
        <w:tc>
          <w:tcPr>
            <w:tcW w:type="dxa" w:w="216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Tipo 1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DimProducto</w:t>
            </w:r>
          </w:p>
        </w:tc>
        <w:tc>
          <w:tcPr>
            <w:tcW w:type="dxa" w:w="604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nombre, categoría, marca, unidad, activo</w:t>
            </w:r>
          </w:p>
        </w:tc>
        <w:tc>
          <w:tcPr>
            <w:tcW w:type="dxa" w:w="216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Tipo 1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DimCliente</w:t>
            </w:r>
          </w:p>
        </w:tc>
        <w:tc>
          <w:tcPr>
            <w:tcW w:type="dxa" w:w="604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nombre, activo</w:t>
            </w:r>
          </w:p>
        </w:tc>
        <w:tc>
          <w:tcPr>
            <w:tcW w:type="dxa" w:w="216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Tipo 1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DimUsuario</w:t>
            </w:r>
          </w:p>
        </w:tc>
        <w:tc>
          <w:tcPr>
            <w:tcW w:type="dxa" w:w="604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nombre, rol, estado</w:t>
            </w:r>
          </w:p>
        </w:tc>
        <w:tc>
          <w:tcPr>
            <w:tcW w:type="dxa" w:w="216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Tipo 1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DimMetodoPago</w:t>
            </w:r>
          </w:p>
        </w:tc>
        <w:tc>
          <w:tcPr>
            <w:tcW w:type="dxa" w:w="604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método principal</w:t>
            </w:r>
          </w:p>
        </w:tc>
        <w:tc>
          <w:tcPr>
            <w:tcW w:type="dxa" w:w="216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Estática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DimVenta</w:t>
            </w:r>
          </w:p>
        </w:tc>
        <w:tc>
          <w:tcPr>
            <w:tcW w:type="dxa" w:w="6048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tipo, estado venta, estado pago</w:t>
            </w:r>
          </w:p>
        </w:tc>
        <w:tc>
          <w:tcPr>
            <w:tcW w:type="dxa" w:w="2160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Tipo 1</w:t>
            </w:r>
          </w:p>
        </w:tc>
      </w:tr>
    </w:tbl>
    <w:p>
      <w:pPr>
        <w:pStyle w:val="Heading1"/>
      </w:pPr>
      <w:r>
        <w:t>4. Surrogate keys</w:t>
      </w:r>
    </w:p>
    <w:p>
      <w:r>
        <w:t>Las dimensiones reciben claves analíticas enteras. Los UUID del OLTP se conservan como business keys para resolver búsquedas y garantizar trazabilidad. Esto sigue el patrón trabajado en el caso Bike Z, donde la fact utiliza claves subrogadas de las dimensiones.</w:t>
      </w:r>
    </w:p>
    <w:p>
      <w:pPr>
        <w:pStyle w:val="Heading1"/>
      </w:pPr>
      <w:r>
        <w:t>5. Evolución</w:t>
      </w:r>
    </w:p>
    <w:p>
      <w:r>
        <w:t>Para una tesis no es necesario introducir Slowly Changing Dimension tipo 2 si no existe un requerimiento concreto de conservar la historia de atributos descriptivos. Si más adelante se necesita conocer la categoría o nombre de producto exactamente como estaba en cada fecha, DimProducto podría evolucionar a SCD2.</w:t>
      </w:r>
    </w:p>
    <w:p>
      <w:pPr>
        <w:pStyle w:val="Heading1"/>
      </w:pPr>
      <w:r>
        <w:t>Fuentes y límites de evidencia</w:t>
      </w:r>
    </w:p>
    <w:p>
      <w:pPr>
        <w:pStyle w:val="ListBullet"/>
        <w:spacing w:line="360" w:lineRule="auto"/>
      </w:pPr>
      <w:r>
        <w:t>Examen Transversal de Inteligencia de Negocios: exige metodología Kimball, proceso ETL, modelo dimensional y dashboard relacionado.</w:t>
      </w:r>
    </w:p>
    <w:p>
      <w:pPr>
        <w:pStyle w:val="ListBullet"/>
        <w:spacing w:line="360" w:lineRule="auto"/>
      </w:pPr>
      <w:r>
        <w:t>Informe Bike Z del mismo equipo: utiliza Data Mart, esquema estrella, tabla de hechos, dimensiones, surrogate keys, ETL y Power BI.</w:t>
      </w:r>
    </w:p>
    <w:p>
      <w:pPr>
        <w:pStyle w:val="ListBullet"/>
        <w:spacing w:line="360" w:lineRule="auto"/>
      </w:pPr>
      <w:r>
        <w:t>Esquema vigente de Localito en PostgreSQL: negocios, usuarios, productos, ventas, detalle_ventas, clientes, fiado, caja y auditoría.</w:t>
      </w:r>
    </w:p>
    <w:p>
      <w:pPr>
        <w:pStyle w:val="ListBullet"/>
        <w:spacing w:line="360" w:lineRule="auto"/>
      </w:pPr>
      <w:r>
        <w:t>El bloque BI de Localito es un diseño académico implementable. Los scripts y casos de prueba no se presentan como ejecutados contra producción ni existe un archivo PBIX final mientras no se cargue un Data Mart autorizado.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6"/>
      </w:rPr>
      <w:t>LOCALITO · INTELIGENCIA DE NEGOCIOS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