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Calidad de Datos y Pruebas BI</w:t>
      </w:r>
    </w:p>
    <w:p>
      <w:pPr>
        <w:jc w:val="center"/>
      </w:pPr>
      <w:r>
        <w:rPr>
          <w:rFonts w:ascii="Calibri" w:hAnsi="Calibri"/>
          <w:color w:val="475569"/>
          <w:sz w:val="22"/>
        </w:rPr>
        <w:t>Validación antes de publicar indicadores</w:t>
      </w:r>
    </w:p>
    <w:p/>
    <w:p>
      <w:pPr>
        <w:jc w:val="center"/>
      </w:pPr>
      <w:r>
        <w:rPr>
          <w:rFonts w:ascii="Calibri" w:hAnsi="Calibri"/>
          <w:sz w:val="21"/>
        </w:rPr>
        <w:t>Integrantes: Camilo González · Alexander Patiño · Samuel Solís</w:t>
        <w:br/>
        <w:t>Asignatura: Inteligencia de Negocios</w:t>
        <w:br/>
        <w:t>Docente: Daniel Carrasco Diaz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BI pierde valor si un indicador es visualmente atractivo pero semánticamente incorrecto. La calidad se valida antes del dashboard.</w:t>
            </w:r>
          </w:p>
        </w:tc>
      </w:tr>
    </w:tbl>
    <w:p>
      <w:pPr>
        <w:pStyle w:val="Heading1"/>
      </w:pPr>
      <w:r>
        <w:t>1. Reglas prioritarias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4896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Regla</w:t>
            </w:r>
          </w:p>
        </w:tc>
        <w:tc>
          <w:tcPr>
            <w:tcW w:type="dxa" w:w="4032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Esperado</w:t>
            </w:r>
          </w:p>
        </w:tc>
        <w:tc>
          <w:tcPr>
            <w:tcW w:type="dxa" w:w="1728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Severidad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Detalle sin venta</w:t>
            </w:r>
          </w:p>
        </w:tc>
        <w:tc>
          <w:tcPr>
            <w:tcW w:type="dxa" w:w="403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72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Crítica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Detalle sin producto</w:t>
            </w:r>
          </w:p>
        </w:tc>
        <w:tc>
          <w:tcPr>
            <w:tcW w:type="dxa" w:w="403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72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Crítica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Detalle duplicado en Fact</w:t>
            </w:r>
          </w:p>
        </w:tc>
        <w:tc>
          <w:tcPr>
            <w:tcW w:type="dxa" w:w="403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72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Crítica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Diferencia OLTP vs Data Mart</w:t>
            </w:r>
          </w:p>
        </w:tc>
        <w:tc>
          <w:tcPr>
            <w:tcW w:type="dxa" w:w="403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0 o explicación documentada</w:t>
            </w:r>
          </w:p>
        </w:tc>
        <w:tc>
          <w:tcPr>
            <w:tcW w:type="dxa" w:w="172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Crítica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Surrogate key obligatoria nula</w:t>
            </w:r>
          </w:p>
        </w:tc>
        <w:tc>
          <w:tcPr>
            <w:tcW w:type="dxa" w:w="403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72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Crítica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Cantidad &lt;= 0</w:t>
            </w:r>
          </w:p>
        </w:tc>
        <w:tc>
          <w:tcPr>
            <w:tcW w:type="dxa" w:w="403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72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Venta anulada aportando al KPI neto</w:t>
            </w:r>
          </w:p>
        </w:tc>
        <w:tc>
          <w:tcPr>
            <w:tcW w:type="dxa" w:w="403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72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Alta</w:t>
            </w:r>
          </w:p>
        </w:tc>
      </w:tr>
    </w:tbl>
    <w:p>
      <w:pPr>
        <w:pStyle w:val="Heading1"/>
      </w:pPr>
      <w:r>
        <w:t>2. Pruebas ETL</w:t>
      </w:r>
    </w:p>
    <w:p>
      <w:pPr>
        <w:pStyle w:val="ListBullet"/>
        <w:spacing w:line="360" w:lineRule="auto"/>
      </w:pPr>
      <w:r>
        <w:t>Crear Data Mart en PostgreSQL separado.</w:t>
      </w:r>
    </w:p>
    <w:p>
      <w:pPr>
        <w:pStyle w:val="ListBullet"/>
        <w:spacing w:line="360" w:lineRule="auto"/>
      </w:pPr>
      <w:r>
        <w:t>Ejecutar carga de dimensiones y verificar business keys únicas.</w:t>
      </w:r>
    </w:p>
    <w:p>
      <w:pPr>
        <w:pStyle w:val="ListBullet"/>
        <w:spacing w:line="360" w:lineRule="auto"/>
      </w:pPr>
      <w:r>
        <w:t>Cargar fact y verificar una fila por detalle activo.</w:t>
      </w:r>
    </w:p>
    <w:p>
      <w:pPr>
        <w:pStyle w:val="ListBullet"/>
        <w:spacing w:line="360" w:lineRule="auto"/>
      </w:pPr>
      <w:r>
        <w:t>Reejecutar la carga para comprobar idempotencia.</w:t>
      </w:r>
    </w:p>
    <w:p>
      <w:pPr>
        <w:pStyle w:val="ListBullet"/>
        <w:spacing w:line="360" w:lineRule="auto"/>
      </w:pPr>
      <w:r>
        <w:t>Forzar una venta con varias líneas y descuento y comprobar que la suma neta iguala el total.</w:t>
      </w:r>
    </w:p>
    <w:p>
      <w:pPr>
        <w:pStyle w:val="ListBullet"/>
        <w:spacing w:line="360" w:lineRule="auto"/>
      </w:pPr>
      <w:r>
        <w:t>Conectar Power BI y validar relaciones 1:* y cross-filter.</w:t>
      </w:r>
    </w:p>
    <w:p>
      <w:pPr>
        <w:pStyle w:val="Heading1"/>
      </w:pPr>
      <w:r>
        <w:t>3. Evidencia</w:t>
      </w:r>
    </w:p>
    <w:p>
      <w:r>
        <w:t>Cada prueba debe conservar consulta, resultado, fecha, ambiente y responsable. Mientras estas pruebas no se ejecuten, su estado permanece Pendiente en la matriz Excel.</w:t>
      </w:r>
    </w:p>
    <w:p>
      <w:pPr>
        <w:pStyle w:val="Heading1"/>
      </w:pPr>
      <w:r>
        <w:t>4. Prueba de actualización</w:t>
      </w:r>
    </w:p>
    <w:p>
      <w:r>
        <w:t>Siguiendo la lógica usada en Bike Z, una prueba de estrés académica adecuada consiste en insertar datos sintéticos en el OLTP de prueba, ejecutar nuevamente ETL y refresh, y verificar que el dashboard incorpore la nueva información sin duplicar registros existentes.</w:t>
      </w:r>
    </w:p>
    <w:p>
      <w:pPr>
        <w:pStyle w:val="Heading1"/>
      </w:pPr>
      <w:r>
        <w:t>Fuentes y límites de evidencia</w:t>
      </w:r>
    </w:p>
    <w:p>
      <w:pPr>
        <w:pStyle w:val="ListBullet"/>
        <w:spacing w:line="360" w:lineRule="auto"/>
      </w:pPr>
      <w:r>
        <w:t>Examen Transversal de Inteligencia de Negocios: exige metodología Kimball, proceso ETL, modelo dimensional y dashboard relacionado.</w:t>
      </w:r>
    </w:p>
    <w:p>
      <w:pPr>
        <w:pStyle w:val="ListBullet"/>
        <w:spacing w:line="360" w:lineRule="auto"/>
      </w:pPr>
      <w:r>
        <w:t>Informe Bike Z del mismo equipo: utiliza Data Mart, esquema estrella, tabla de hechos, dimensiones, surrogate keys, ETL y Power BI.</w:t>
      </w:r>
    </w:p>
    <w:p>
      <w:pPr>
        <w:pStyle w:val="ListBullet"/>
        <w:spacing w:line="360" w:lineRule="auto"/>
      </w:pPr>
      <w:r>
        <w:t>Esquema vigente de Localito en PostgreSQL: negocios, usuarios, productos, ventas, detalle_ventas, clientes, fiado, caja y auditoría.</w:t>
      </w:r>
    </w:p>
    <w:p>
      <w:pPr>
        <w:pStyle w:val="ListBullet"/>
        <w:spacing w:line="360" w:lineRule="auto"/>
      </w:pPr>
      <w:r>
        <w:t>El bloque BI de Localito es un diseño académico implementable. Los scripts y casos de prueba no se presentan como ejecutados contra producción ni existe un archivo PBIX final mientras no se cargue un Data Mart autorizado.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LOCALITO · INTELIGENCIA DE NEGOCIOS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