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02 · Negociación y resolución de conflictos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line="240" w:lineRule="auto"/>
            </w:pPr>
            <w:r>
              <w:rPr>
                <w:sz w:val="18"/>
              </w:rPr>
              <w:t>La negociación integrativa separa posiciones de intereses. BATNA es la mejor alternativa disponible si no hay acuerdo; sirve para evitar aceptar condiciones inviables por presión.</w:t>
            </w:r>
          </w:p>
        </w:tc>
      </w:tr>
    </w:tbl>
    <w:p>
      <w:pPr>
        <w:pStyle w:val="Heading1"/>
      </w:pPr>
      <w:r>
        <w:t>1. Escenarios Localito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74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388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5"/>
              </w:rPr>
              <w:t>Interés real</w:t>
            </w:r>
          </w:p>
        </w:tc>
        <w:tc>
          <w:tcPr>
            <w:tcW w:type="dxa" w:w="360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5"/>
              </w:rPr>
              <w:t>No negociable</w:t>
            </w:r>
          </w:p>
        </w:tc>
        <w:tc>
          <w:tcPr>
            <w:tcW w:type="dxa" w:w="460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5"/>
              </w:rPr>
              <w:t>BATNA / alternativa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Nueva función antes del cierre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Mostrar mayor alcance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No comprometer Sprint Goal ni demo estable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Mover a roadmap/spike/prototipo.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Prospecto exige DTE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Cumplimiento tributario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No afirmar integración inexistente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Mantener comprobante interno y evaluar proveedor post-tesis.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Demo fija con fallo crítico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Confianza y evaluación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No ocultar fallo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Reducir recorrido y mostrar límites/evidencia histórica etiquetada.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Desacuerdo de arquitectura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Calidad/tiempo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No decidir por autoridad personal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ADR + experimento/benchmark corto.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Proveedor IA indisponible</w:t>
            </w:r>
          </w:p>
        </w:tc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Mostrar diferenciación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No fingir respuesta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5"/>
              </w:rPr>
              <w:t>Fallback manual y evidencia previa claramente identificada.</w:t>
            </w:r>
          </w:p>
        </w:tc>
      </w:tr>
    </w:tbl>
    <w:p>
      <w:pPr>
        <w:pStyle w:val="Heading1"/>
      </w:pPr>
      <w:r>
        <w:t>2. Proceso de negociación</w:t>
      </w:r>
    </w:p>
    <w:p>
      <w:pPr>
        <w:pStyle w:val="ListNumber"/>
      </w:pPr>
      <w:r>
        <w:t>Definir el problema y quién decide qué.</w:t>
      </w:r>
    </w:p>
    <w:p>
      <w:pPr>
        <w:pStyle w:val="ListNumber"/>
      </w:pPr>
      <w:r>
        <w:t>Separar posición declarada del interés real.</w:t>
      </w:r>
    </w:p>
    <w:p>
      <w:pPr>
        <w:pStyle w:val="ListNumber"/>
      </w:pPr>
      <w:r>
        <w:t>Listar límites técnicos, éticos y académicos.</w:t>
      </w:r>
    </w:p>
    <w:p>
      <w:pPr>
        <w:pStyle w:val="ListNumber"/>
      </w:pPr>
      <w:r>
        <w:t>Generar opciones compatibles con Product Goal.</w:t>
      </w:r>
    </w:p>
    <w:p>
      <w:pPr>
        <w:pStyle w:val="ListNumber"/>
      </w:pPr>
      <w:r>
        <w:t>Definir BATNA antes de comprometer al equipo.</w:t>
      </w:r>
    </w:p>
    <w:p>
      <w:pPr>
        <w:pStyle w:val="ListNumber"/>
      </w:pPr>
      <w:r>
        <w:t>Acordar criterio, responsable y momento de revisión.</w:t>
      </w:r>
    </w:p>
    <w:p>
      <w:pPr>
        <w:pStyle w:val="ListNumber"/>
      </w:pPr>
      <w:r>
        <w:t>Convertir el acuerdo en backlog, ADR, criterio o registro de feedback.</w:t>
      </w:r>
    </w:p>
    <w:p>
      <w:pPr>
        <w:pStyle w:val="Heading1"/>
      </w:pPr>
      <w:r>
        <w:t>3. Conflicto saludable</w:t>
      </w:r>
    </w:p>
    <w:p>
      <w:r>
        <w:t>El objetivo no es eliminar desacuerdos. En un proyecto técnico, el conflicto sobre arquitectura, alcance o calidad puede revelar riesgos. Debe mantenerse centrado en evidencia y criterios, no en personas. La Retrospectiva sirve para mejorar el sistema de trabajo; no para asignar culpa.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LIDERAZGO Y NEGOCIACIÓN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